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utiliser_l_ia_au_quotidien_en_con_7399c1"/>
      <w:r>
        <w:rPr>
          <w:rFonts w:eastAsia="source serif 4" w:cs="source serif 4" w:ascii="source serif 4" w:hAnsi="source serif 4"/>
          <w:b/>
          <w:color w:val="000000"/>
          <w:sz w:val="39"/>
        </w:rPr>
        <w:t xml:space="preserve">Utiliser l’IA au quotidien en contexte associatif et jeunesse</w:t>
      </w:r>
      <w:bookmarkEnd w:id="0"/>
    </w:p>
    <w:p>
      <w:pPr>
        <w:spacing w:line="360" w:before="315" w:after="105" w:lineRule="auto"/>
        <w:ind w:left="-30"/>
        <w:jc w:val="left"/>
      </w:pPr>
      <w:bookmarkStart w:id="1" w:name="bm_1_introduction_professionnalis_942aee"/>
      <w:r>
        <w:rPr>
          <w:rFonts w:eastAsia="source serif 4" w:cs="source serif 4" w:ascii="source serif 4" w:hAnsi="source serif 4"/>
          <w:b/>
          <w:color w:val="000000"/>
          <w:sz w:val="24"/>
        </w:rPr>
        <w:t xml:space="preserve">1. Introduction : professionnaliser les usages quotidiens de l’IA</w:t>
      </w:r>
      <w:bookmarkEnd w:id="1"/>
    </w:p>
    <w:p>
      <w:pPr>
        <w:spacing w:line="360" w:after="210" w:lineRule="auto"/>
      </w:pPr>
      <w:r>
        <w:rPr>
          <w:rFonts w:eastAsia="source serif 4" w:cs="source serif 4" w:ascii="source serif 4" w:hAnsi="source serif 4"/>
          <w:color w:val="000000"/>
        </w:rPr>
        <w:t xml:space="preserve">L’IA générative (texte, image, audio, vidéo) s’est invitée dans le quotidien des professionnels et bénévoles : rédaction de mails, préparation d’ateliers, conception de supports de communication, prises de notes, traduction, création de visuels, etc. Dans les associations et structures d’animation jeunesse, ces usages se développent rapidement, souvent sans cadre ni compétences partagées.[^1]</w:t>
      </w:r>
    </w:p>
    <w:p>
      <w:pPr>
        <w:spacing w:line="360" w:after="210" w:lineRule="auto"/>
      </w:pPr>
      <w:r>
        <w:rPr>
          <w:rFonts w:eastAsia="source serif 4" w:cs="source serif 4" w:ascii="source serif 4" w:hAnsi="source serif 4"/>
          <w:color w:val="000000"/>
        </w:rPr>
        <w:t xml:space="preserve">Les retours de terrain montrent deux défis principaux :</w:t>
      </w:r>
    </w:p>
    <w:p>
      <w:pPr>
        <w:numPr>
          <w:ilvl w:val="0"/>
          <w:numId w:val="1"/>
        </w:numPr>
        <w:spacing w:line="360" w:before="105" w:after="105" w:lineRule="auto"/>
      </w:pPr>
      <w:r>
        <w:rPr>
          <w:rFonts w:eastAsia="source serif 4" w:cs="source serif 4" w:ascii="source serif 4" w:hAnsi="source serif 4"/>
          <w:color w:val="000000"/>
          <w:sz w:val="21"/>
        </w:rPr>
        <w:t xml:space="preserve">des prompts (consignes) improvisés, qui produisent des résultats moyens, répétitifs ou approximatifs ;</w:t>
      </w:r>
    </w:p>
    <w:p>
      <w:pPr>
        <w:numPr>
          <w:ilvl w:val="0"/>
          <w:numId w:val="1"/>
        </w:numPr>
        <w:spacing w:line="360" w:before="105" w:after="105" w:lineRule="auto"/>
      </w:pPr>
      <w:r>
        <w:rPr>
          <w:rFonts w:eastAsia="source serif 4" w:cs="source serif 4" w:ascii="source serif 4" w:hAnsi="source serif 4"/>
          <w:color w:val="000000"/>
          <w:sz w:val="21"/>
        </w:rPr>
        <w:t xml:space="preserve">une méconnaissance des enjeux juridiques, en particulier autour des données personnelles (RGPD) et des images (droit d’auteur, droit à l’image).[</w:t>
      </w:r>
      <w:r>
        <w:rPr>
          <w:rFonts w:eastAsia="source serif 4" w:cs="source serif 4" w:ascii="source serif 4" w:hAnsi="source serif 4"/>
          <w:color w:val="000000"/>
          <w:sz w:val="21"/>
          <w:vertAlign w:val="superscript"/>
        </w:rPr>
        <w:t xml:space="preserve">2][</w:t>
      </w:r>
      <w:r>
        <w:rPr>
          <w:rFonts w:eastAsia="source serif 4" w:cs="source serif 4" w:ascii="source serif 4" w:hAnsi="source serif 4"/>
          <w:color w:val="000000"/>
          <w:sz w:val="21"/>
        </w:rPr>
        <w:t xml:space="preserve">3][^4]</w:t>
      </w:r>
    </w:p>
    <w:p>
      <w:pPr>
        <w:spacing w:line="360" w:after="210" w:lineRule="auto"/>
      </w:pPr>
      <w:r>
        <w:rPr>
          <w:rFonts w:eastAsia="source serif 4" w:cs="source serif 4" w:ascii="source serif 4" w:hAnsi="source serif 4"/>
          <w:color w:val="000000"/>
        </w:rPr>
        <w:t xml:space="preserve">Ce rapport propose un socle de formation pour :</w:t>
      </w:r>
    </w:p>
    <w:p>
      <w:pPr>
        <w:numPr>
          <w:ilvl w:val="0"/>
          <w:numId w:val="2"/>
        </w:numPr>
        <w:spacing w:line="360" w:before="105" w:after="105" w:lineRule="auto"/>
      </w:pPr>
      <w:r>
        <w:rPr>
          <w:rFonts w:eastAsia="source serif 4" w:cs="source serif 4" w:ascii="source serif 4" w:hAnsi="source serif 4"/>
          <w:b/>
          <w:color w:val="000000"/>
          <w:sz w:val="21"/>
        </w:rPr>
        <w:t xml:space="preserve">Formuler un prompt structuré</w:t>
      </w:r>
      <w:r>
        <w:rPr>
          <w:rFonts w:eastAsia="source serif 4" w:cs="source serif 4" w:ascii="source serif 4" w:hAnsi="source serif 4"/>
          <w:color w:val="000000"/>
          <w:sz w:val="21"/>
        </w:rPr>
        <w:t xml:space="preserve"> pour un usage professionnel ou bénévole, en s’appuyant sur une méthode de type RCTF(E) (Rôle, Contexte, Tâche, Format, Exemples).[</w:t>
      </w:r>
      <w:r>
        <w:rPr>
          <w:rFonts w:eastAsia="source serif 4" w:cs="source serif 4" w:ascii="source serif 4" w:hAnsi="source serif 4"/>
          <w:color w:val="000000"/>
          <w:sz w:val="21"/>
          <w:vertAlign w:val="superscript"/>
        </w:rPr>
        <w:t xml:space="preserve">5][</w:t>
      </w:r>
      <w:r>
        <w:rPr>
          <w:rFonts w:eastAsia="source serif 4" w:cs="source serif 4" w:ascii="source serif 4" w:hAnsi="source serif 4"/>
          <w:color w:val="000000"/>
          <w:sz w:val="21"/>
        </w:rPr>
        <w:t xml:space="preserve">6][^1]</w:t>
      </w:r>
    </w:p>
    <w:p>
      <w:pPr>
        <w:numPr>
          <w:ilvl w:val="0"/>
          <w:numId w:val="2"/>
        </w:numPr>
        <w:spacing w:line="360" w:before="105" w:after="105" w:lineRule="auto"/>
      </w:pPr>
      <w:r>
        <w:rPr>
          <w:rFonts w:eastAsia="source serif 4" w:cs="source serif 4" w:ascii="source serif 4" w:hAnsi="source serif 4"/>
          <w:b/>
          <w:color w:val="000000"/>
          <w:sz w:val="21"/>
        </w:rPr>
        <w:t xml:space="preserve">Produire au moins une fiche d’activité ou un support de communication</w:t>
      </w:r>
      <w:r>
        <w:rPr>
          <w:rFonts w:eastAsia="source serif 4" w:cs="source serif 4" w:ascii="source serif 4" w:hAnsi="source serif 4"/>
          <w:color w:val="000000"/>
          <w:sz w:val="21"/>
        </w:rPr>
        <w:t xml:space="preserve"> avec l’aide de l’IA, tout en gardant la maîtrise éditoriale.</w:t>
      </w:r>
    </w:p>
    <w:p>
      <w:pPr>
        <w:numPr>
          <w:ilvl w:val="0"/>
          <w:numId w:val="2"/>
        </w:numPr>
        <w:spacing w:line="360" w:before="105" w:after="105" w:lineRule="auto"/>
      </w:pPr>
      <w:r>
        <w:rPr>
          <w:rFonts w:eastAsia="source serif 4" w:cs="source serif 4" w:ascii="source serif 4" w:hAnsi="source serif 4"/>
          <w:b/>
          <w:color w:val="000000"/>
          <w:sz w:val="21"/>
        </w:rPr>
        <w:t xml:space="preserve">Générer et choisir une image IA</w:t>
      </w:r>
      <w:r>
        <w:rPr>
          <w:rFonts w:eastAsia="source serif 4" w:cs="source serif 4" w:ascii="source serif 4" w:hAnsi="source serif 4"/>
          <w:color w:val="000000"/>
          <w:sz w:val="21"/>
        </w:rPr>
        <w:t xml:space="preserve"> selon des critères de qualité et de droit (droit d’auteur, droit à l’image, licences).[</w:t>
      </w:r>
      <w:r>
        <w:rPr>
          <w:rFonts w:eastAsia="source serif 4" w:cs="source serif 4" w:ascii="source serif 4" w:hAnsi="source serif 4"/>
          <w:color w:val="000000"/>
          <w:sz w:val="21"/>
          <w:vertAlign w:val="superscript"/>
        </w:rPr>
        <w:t xml:space="preserve">7][</w:t>
      </w:r>
      <w:r>
        <w:rPr>
          <w:rFonts w:eastAsia="source serif 4" w:cs="source serif 4" w:ascii="source serif 4" w:hAnsi="source serif 4"/>
          <w:color w:val="000000"/>
          <w:sz w:val="21"/>
        </w:rPr>
        <w:t xml:space="preserve">3][</w:t>
      </w:r>
      <w:r>
        <w:rPr>
          <w:rFonts w:eastAsia="source serif 4" w:cs="source serif 4" w:ascii="source serif 4" w:hAnsi="source serif 4"/>
          <w:color w:val="000000"/>
          <w:sz w:val="21"/>
          <w:vertAlign w:val="superscript"/>
        </w:rPr>
        <w:t xml:space="preserve">8][</w:t>
      </w:r>
      <w:r>
        <w:rPr>
          <w:rFonts w:eastAsia="source serif 4" w:cs="source serif 4" w:ascii="source serif 4" w:hAnsi="source serif 4"/>
          <w:color w:val="000000"/>
          <w:sz w:val="21"/>
        </w:rPr>
        <w:t xml:space="preserve">9]</w:t>
      </w:r>
    </w:p>
    <w:p>
      <w:pPr>
        <w:numPr>
          <w:ilvl w:val="0"/>
          <w:numId w:val="2"/>
        </w:numPr>
        <w:spacing w:line="360" w:before="105" w:after="105" w:lineRule="auto"/>
      </w:pPr>
      <w:r>
        <w:rPr>
          <w:rFonts w:eastAsia="source serif 4" w:cs="source serif 4" w:ascii="source serif 4" w:hAnsi="source serif 4"/>
          <w:b/>
          <w:color w:val="000000"/>
          <w:sz w:val="21"/>
        </w:rPr>
        <w:t xml:space="preserve">Connaître les règles absolues de vigilance sur les données</w:t>
      </w:r>
      <w:r>
        <w:rPr>
          <w:rFonts w:eastAsia="source serif 4" w:cs="source serif 4" w:ascii="source serif 4" w:hAnsi="source serif 4"/>
          <w:color w:val="000000"/>
          <w:sz w:val="21"/>
        </w:rPr>
        <w:t xml:space="preserve"> en lien avec le RGPD et les recommandations de la CNIL.[</w:t>
      </w:r>
      <w:r>
        <w:rPr>
          <w:rFonts w:eastAsia="source serif 4" w:cs="source serif 4" w:ascii="source serif 4" w:hAnsi="source serif 4"/>
          <w:color w:val="000000"/>
          <w:sz w:val="21"/>
          <w:vertAlign w:val="superscript"/>
        </w:rPr>
        <w:t xml:space="preserve">10][</w:t>
      </w:r>
      <w:r>
        <w:rPr>
          <w:rFonts w:eastAsia="source serif 4" w:cs="source serif 4" w:ascii="source serif 4" w:hAnsi="source serif 4"/>
          <w:color w:val="000000"/>
          <w:sz w:val="21"/>
        </w:rPr>
        <w:t xml:space="preserve">4][</w:t>
      </w:r>
      <w:r>
        <w:rPr>
          <w:rFonts w:eastAsia="source serif 4" w:cs="source serif 4" w:ascii="source serif 4" w:hAnsi="source serif 4"/>
          <w:color w:val="000000"/>
          <w:sz w:val="21"/>
          <w:vertAlign w:val="superscript"/>
        </w:rPr>
        <w:t xml:space="preserve">11][</w:t>
      </w:r>
      <w:r>
        <w:rPr>
          <w:rFonts w:eastAsia="source serif 4" w:cs="source serif 4" w:ascii="source serif 4" w:hAnsi="source serif 4"/>
          <w:color w:val="000000"/>
          <w:sz w:val="21"/>
        </w:rPr>
        <w:t xml:space="preserve">2]</w:t>
      </w:r>
    </w:p>
    <w:p>
      <w:pPr>
        <w:spacing w:line="360" w:before="315" w:after="105" w:lineRule="auto"/>
        <w:ind w:left="-30"/>
        <w:jc w:val="left"/>
      </w:pPr>
      <w:bookmarkStart w:id="2" w:name="bm_2_formuler_un_prompt_structuré_5e573b"/>
      <w:r>
        <w:rPr>
          <w:rFonts w:eastAsia="source serif 4" w:cs="source serif 4" w:ascii="source serif 4" w:hAnsi="source serif 4"/>
          <w:b/>
          <w:color w:val="000000"/>
          <w:sz w:val="24"/>
        </w:rPr>
        <w:t xml:space="preserve">2. Formuler un prompt structuré (méthode RCTF(E))</w:t>
      </w:r>
      <w:bookmarkEnd w:id="2"/>
    </w:p>
    <w:p>
      <w:pPr>
        <w:spacing w:line="360" w:before="315" w:after="105" w:lineRule="auto"/>
        <w:ind w:left="-30"/>
        <w:jc w:val="left"/>
      </w:pPr>
      <w:bookmarkStart w:id="3" w:name="bm_2_1_pourquoi_structurer_un_prompt"/>
      <w:r>
        <w:rPr>
          <w:rFonts w:eastAsia="source serif 4" w:cs="source serif 4" w:ascii="source serif 4" w:hAnsi="source serif 4"/>
          <w:b/>
          <w:color w:val="000000"/>
          <w:sz w:val="24"/>
        </w:rPr>
        <w:t xml:space="preserve">2.1. Pourquoi structurer un prompt ?</w:t>
      </w:r>
      <w:bookmarkEnd w:id="3"/>
    </w:p>
    <w:p>
      <w:pPr>
        <w:spacing w:line="360" w:after="210" w:lineRule="auto"/>
      </w:pPr>
      <w:r>
        <w:rPr>
          <w:rFonts w:eastAsia="source serif 4" w:cs="source serif 4" w:ascii="source serif 4" w:hAnsi="source serif 4"/>
          <w:color w:val="000000"/>
        </w:rPr>
        <w:t xml:space="preserve">Les guides de « prompt engineering » montrent qu’un prompt efficace n’est jamais une simple phrase vague : il doit préciser le rôle demandé à l’IA, le contexte, la tâche, le format de réponse, et parfois des exemples de ce qui est attendu. Sans cette structure, les réponses risquent d’être générales, hors sujet ou difficiles à réutiliser.[</w:t>
      </w:r>
      <w:r>
        <w:rPr>
          <w:rFonts w:eastAsia="source serif 4" w:cs="source serif 4" w:ascii="source serif 4" w:hAnsi="source serif 4"/>
          <w:color w:val="000000"/>
          <w:vertAlign w:val="superscript"/>
        </w:rPr>
        <w:t xml:space="preserve">6][</w:t>
      </w:r>
      <w:r>
        <w:rPr>
          <w:rFonts w:eastAsia="source serif 4" w:cs="source serif 4" w:ascii="source serif 4" w:hAnsi="source serif 4"/>
          <w:color w:val="000000"/>
        </w:rPr>
        <w:t xml:space="preserve">12][</w:t>
      </w:r>
      <w:r>
        <w:rPr>
          <w:rFonts w:eastAsia="source serif 4" w:cs="source serif 4" w:ascii="source serif 4" w:hAnsi="source serif 4"/>
          <w:color w:val="000000"/>
          <w:vertAlign w:val="superscript"/>
        </w:rPr>
        <w:t xml:space="preserve">5][</w:t>
      </w:r>
      <w:r>
        <w:rPr>
          <w:rFonts w:eastAsia="source serif 4" w:cs="source serif 4" w:ascii="source serif 4" w:hAnsi="source serif 4"/>
          <w:color w:val="000000"/>
        </w:rPr>
        <w:t xml:space="preserve">1]</w:t>
      </w:r>
    </w:p>
    <w:p>
      <w:pPr>
        <w:spacing w:line="360" w:after="210" w:lineRule="auto"/>
      </w:pPr>
      <w:r>
        <w:rPr>
          <w:rFonts w:eastAsia="source serif 4" w:cs="source serif 4" w:ascii="source serif 4" w:hAnsi="source serif 4"/>
          <w:color w:val="000000"/>
        </w:rPr>
        <w:t xml:space="preserve">Des praticiens proposent différents acronymes (RCT, RCTF, RCTFE), mais l’idée reste la même : </w:t>
      </w:r>
      <w:r>
        <w:rPr>
          <w:rFonts w:eastAsia="source serif 4" w:cs="source serif 4" w:ascii="source serif 4" w:hAnsi="source serif 4"/>
          <w:b/>
          <w:color w:val="000000"/>
        </w:rPr>
        <w:t xml:space="preserve">donner à l’IA un cadre aussi clair que possible</w:t>
      </w:r>
      <w:r>
        <w:rPr>
          <w:rFonts w:eastAsia="source serif 4" w:cs="source serif 4" w:ascii="source serif 4" w:hAnsi="source serif 4"/>
          <w:color w:val="000000"/>
        </w:rPr>
        <w:t xml:space="preserve">. Pour une formation, il est utile de proposer une méthode simple que les participants pourront mémoriser et adapter.[</w:t>
      </w:r>
      <w:r>
        <w:rPr>
          <w:rFonts w:eastAsia="source serif 4" w:cs="source serif 4" w:ascii="source serif 4" w:hAnsi="source serif 4"/>
          <w:color w:val="000000"/>
          <w:vertAlign w:val="superscript"/>
        </w:rPr>
        <w:t xml:space="preserve">13][</w:t>
      </w:r>
      <w:r>
        <w:rPr>
          <w:rFonts w:eastAsia="source serif 4" w:cs="source serif 4" w:ascii="source serif 4" w:hAnsi="source serif 4"/>
          <w:color w:val="000000"/>
        </w:rPr>
        <w:t xml:space="preserve">6][^1]</w:t>
      </w:r>
    </w:p>
    <w:p>
      <w:pPr>
        <w:spacing w:line="360" w:before="315" w:after="105" w:lineRule="auto"/>
        <w:ind w:left="-30"/>
        <w:jc w:val="left"/>
      </w:pPr>
      <w:bookmarkStart w:id="4" w:name="bm_2_2_la_méthode_rctf_e_adaptée_ae9e3d"/>
      <w:r>
        <w:rPr>
          <w:rFonts w:eastAsia="source serif 4" w:cs="source serif 4" w:ascii="source serif 4" w:hAnsi="source serif 4"/>
          <w:b/>
          <w:color w:val="000000"/>
          <w:sz w:val="24"/>
        </w:rPr>
        <w:t xml:space="preserve">2.2. La méthode RCTF(E) adaptée aux usages associatifs</w:t>
      </w:r>
      <w:bookmarkEnd w:id="4"/>
    </w:p>
    <w:p>
      <w:pPr>
        <w:spacing w:line="360" w:after="210" w:lineRule="auto"/>
      </w:pPr>
      <w:r>
        <w:rPr>
          <w:rFonts w:eastAsia="source serif 4" w:cs="source serif 4" w:ascii="source serif 4" w:hAnsi="source serif 4"/>
          <w:color w:val="000000"/>
        </w:rPr>
        <w:t xml:space="preserve">À partir des ressources existantes (RCT, RCTF, RCTF(E)), on peut proposer la structure suivante :[</w:t>
      </w:r>
      <w:r>
        <w:rPr>
          <w:rFonts w:eastAsia="source serif 4" w:cs="source serif 4" w:ascii="source serif 4" w:hAnsi="source serif 4"/>
          <w:color w:val="000000"/>
          <w:vertAlign w:val="superscript"/>
        </w:rPr>
        <w:t xml:space="preserve">12][</w:t>
      </w:r>
      <w:r>
        <w:rPr>
          <w:rFonts w:eastAsia="source serif 4" w:cs="source serif 4" w:ascii="source serif 4" w:hAnsi="source serif 4"/>
          <w:color w:val="000000"/>
        </w:rPr>
        <w:t xml:space="preserve">5][</w:t>
      </w:r>
      <w:r>
        <w:rPr>
          <w:rFonts w:eastAsia="source serif 4" w:cs="source serif 4" w:ascii="source serif 4" w:hAnsi="source serif 4"/>
          <w:color w:val="000000"/>
          <w:vertAlign w:val="superscript"/>
        </w:rPr>
        <w:t xml:space="preserve">6][</w:t>
      </w:r>
      <w:r>
        <w:rPr>
          <w:rFonts w:eastAsia="source serif 4" w:cs="source serif 4" w:ascii="source serif 4" w:hAnsi="source serif 4"/>
          <w:color w:val="000000"/>
        </w:rPr>
        <w:t xml:space="preserve">1]</w:t>
      </w:r>
    </w:p>
    <w:p>
      <w:pPr>
        <w:numPr>
          <w:ilvl w:val="0"/>
          <w:numId w:val="3"/>
        </w:numPr>
        <w:spacing w:line="360" w:before="105" w:after="105" w:lineRule="auto"/>
      </w:pPr>
      <w:r>
        <w:rPr>
          <w:rFonts w:eastAsia="source serif 4" w:cs="source serif 4" w:ascii="source serif 4" w:hAnsi="source serif 4"/>
          <w:b/>
          <w:color w:val="000000"/>
          <w:sz w:val="21"/>
        </w:rPr>
        <w:t xml:space="preserve">R – Rôle</w:t>
      </w:r>
      <w:r>
        <w:rPr>
          <w:rFonts w:eastAsia="source serif 4" w:cs="source serif 4" w:ascii="source serif 4" w:hAnsi="source serif 4"/>
          <w:color w:val="000000"/>
          <w:sz w:val="21"/>
        </w:rPr>
        <w:t xml:space="preserve"> : Qui doit être l’IA ? (ex. « Tu es un·e chargé·e de communication d’association », « Tu es un animateur jeunesse expérimenté »).</w:t>
      </w:r>
    </w:p>
    <w:p>
      <w:pPr>
        <w:numPr>
          <w:ilvl w:val="0"/>
          <w:numId w:val="3"/>
        </w:numPr>
        <w:spacing w:line="360" w:before="105" w:after="105" w:lineRule="auto"/>
      </w:pPr>
      <w:r>
        <w:rPr>
          <w:rFonts w:eastAsia="source serif 4" w:cs="source serif 4" w:ascii="source serif 4" w:hAnsi="source serif 4"/>
          <w:b/>
          <w:color w:val="000000"/>
          <w:sz w:val="21"/>
        </w:rPr>
        <w:t xml:space="preserve">C – Contexte</w:t>
      </w:r>
      <w:r>
        <w:rPr>
          <w:rFonts w:eastAsia="source serif 4" w:cs="source serif 4" w:ascii="source serif 4" w:hAnsi="source serif 4"/>
          <w:color w:val="000000"/>
          <w:sz w:val="21"/>
        </w:rPr>
        <w:t xml:space="preserve"> : Quelle est la situation ? Public, objectifs, contraintes (durée, supports, ton, lieu, langue, etc.).</w:t>
      </w:r>
    </w:p>
    <w:p>
      <w:pPr>
        <w:numPr>
          <w:ilvl w:val="0"/>
          <w:numId w:val="3"/>
        </w:numPr>
        <w:spacing w:line="360" w:before="105" w:after="105" w:lineRule="auto"/>
      </w:pPr>
      <w:r>
        <w:rPr>
          <w:rFonts w:eastAsia="source serif 4" w:cs="source serif 4" w:ascii="source serif 4" w:hAnsi="source serif 4"/>
          <w:b/>
          <w:color w:val="000000"/>
          <w:sz w:val="21"/>
        </w:rPr>
        <w:t xml:space="preserve">T – Tâche</w:t>
      </w:r>
      <w:r>
        <w:rPr>
          <w:rFonts w:eastAsia="source serif 4" w:cs="source serif 4" w:ascii="source serif 4" w:hAnsi="source serif 4"/>
          <w:color w:val="000000"/>
          <w:sz w:val="21"/>
        </w:rPr>
        <w:t xml:space="preserve"> : Que doit faire précisément l’IA ? (rédiger, simplifier, proposer un plan, générer une liste d’idées, etc.).</w:t>
      </w:r>
    </w:p>
    <w:p>
      <w:pPr>
        <w:numPr>
          <w:ilvl w:val="0"/>
          <w:numId w:val="3"/>
        </w:numPr>
        <w:spacing w:line="360" w:before="105" w:after="105" w:lineRule="auto"/>
      </w:pPr>
      <w:r>
        <w:rPr>
          <w:rFonts w:eastAsia="source serif 4" w:cs="source serif 4" w:ascii="source serif 4" w:hAnsi="source serif 4"/>
          <w:b/>
          <w:color w:val="000000"/>
          <w:sz w:val="21"/>
        </w:rPr>
        <w:t xml:space="preserve">F – Format</w:t>
      </w:r>
      <w:r>
        <w:rPr>
          <w:rFonts w:eastAsia="source serif 4" w:cs="source serif 4" w:ascii="source serif 4" w:hAnsi="source serif 4"/>
          <w:color w:val="000000"/>
          <w:sz w:val="21"/>
        </w:rPr>
        <w:t xml:space="preserve"> : Sous quelle forme doit être la réponse ? (plan, tableau Markdown, texte court, message WhatsApp, fiche A4 structurée, etc.).</w:t>
      </w:r>
    </w:p>
    <w:p>
      <w:pPr>
        <w:numPr>
          <w:ilvl w:val="0"/>
          <w:numId w:val="3"/>
        </w:numPr>
        <w:spacing w:line="360" w:before="105" w:after="105" w:lineRule="auto"/>
      </w:pPr>
      <w:r>
        <w:rPr>
          <w:rFonts w:eastAsia="source serif 4" w:cs="source serif 4" w:ascii="source serif 4" w:hAnsi="source serif 4"/>
          <w:b/>
          <w:color w:val="000000"/>
          <w:sz w:val="21"/>
        </w:rPr>
        <w:t xml:space="preserve">E – Exemples / critères</w:t>
      </w:r>
      <w:r>
        <w:rPr>
          <w:rFonts w:eastAsia="source serif 4" w:cs="source serif 4" w:ascii="source serif 4" w:hAnsi="source serif 4"/>
          <w:color w:val="000000"/>
          <w:sz w:val="21"/>
        </w:rPr>
        <w:t xml:space="preserve"> : Exemples de ce que l’on aime / n’aime pas, et critères de qualité (clarté, longueur, ton, vocabulaire, etc.).</w:t>
      </w:r>
    </w:p>
    <w:p>
      <w:pPr>
        <w:spacing w:line="360" w:after="210" w:lineRule="auto"/>
      </w:pPr>
      <w:r>
        <w:rPr>
          <w:rFonts w:eastAsia="source serif 4" w:cs="source serif 4" w:ascii="source serif 4" w:hAnsi="source serif 4"/>
          <w:color w:val="000000"/>
        </w:rPr>
        <w:t xml:space="preserve">Cette méthode est cohérente avec les bonnes pratiques de guides récents sur les prompts, qui insistent sur l’importance de préciser au minimum le rôle, le contexte, la tâche et le format.[</w:t>
      </w:r>
      <w:r>
        <w:rPr>
          <w:rFonts w:eastAsia="source serif 4" w:cs="source serif 4" w:ascii="source serif 4" w:hAnsi="source serif 4"/>
          <w:color w:val="000000"/>
          <w:vertAlign w:val="superscript"/>
        </w:rPr>
        <w:t xml:space="preserve">5][</w:t>
      </w:r>
      <w:r>
        <w:rPr>
          <w:rFonts w:eastAsia="source serif 4" w:cs="source serif 4" w:ascii="source serif 4" w:hAnsi="source serif 4"/>
          <w:color w:val="000000"/>
        </w:rPr>
        <w:t xml:space="preserve">6][^1]</w:t>
      </w:r>
    </w:p>
    <w:p>
      <w:pPr>
        <w:spacing w:line="360" w:before="315" w:after="105" w:lineRule="auto"/>
        <w:ind w:left="-30"/>
        <w:jc w:val="left"/>
      </w:pPr>
      <w:bookmarkStart w:id="5" w:name="bm_2_3_exemples_de_prompts_rctf_e_35512c"/>
      <w:r>
        <w:rPr>
          <w:rFonts w:eastAsia="source serif 4" w:cs="source serif 4" w:ascii="source serif 4" w:hAnsi="source serif 4"/>
          <w:b/>
          <w:color w:val="000000"/>
          <w:sz w:val="24"/>
        </w:rPr>
        <w:t xml:space="preserve">2.3. Exemples de prompts RCTF(E) pour usages professionnels / bénévoles</w:t>
      </w:r>
      <w:bookmarkEnd w:id="5"/>
    </w:p>
    <w:p>
      <w:pPr>
        <w:spacing w:line="360" w:after="210" w:lineRule="auto"/>
      </w:pPr>
      <w:r>
        <w:rPr>
          <w:rFonts w:eastAsia="source serif 4" w:cs="source serif 4" w:ascii="source serif 4" w:hAnsi="source serif 4"/>
          <w:b/>
          <w:color w:val="000000"/>
        </w:rPr>
        <w:t xml:space="preserve">Exemple 1 – Fiche d’activité d’animation</w:t>
      </w:r>
    </w:p>
    <w:p>
      <w:pPr>
        <w:numPr>
          <w:ilvl w:val="0"/>
          <w:numId w:val="4"/>
        </w:numPr>
        <w:spacing w:line="360" w:before="105" w:after="105" w:lineRule="auto"/>
      </w:pPr>
      <w:r>
        <w:rPr>
          <w:rFonts w:eastAsia="source serif 4" w:cs="source serif 4" w:ascii="source serif 4" w:hAnsi="source serif 4"/>
          <w:color w:val="000000"/>
          <w:sz w:val="21"/>
        </w:rPr>
        <w:t xml:space="preserve">Rôle : « Tu es un animateur socio‑culturel expérimenté spécialisé en éducation aux médias avec des ados 13‑16 ans. »</w:t>
      </w:r>
    </w:p>
    <w:p>
      <w:pPr>
        <w:numPr>
          <w:ilvl w:val="0"/>
          <w:numId w:val="4"/>
        </w:numPr>
        <w:spacing w:line="360" w:before="105" w:after="105" w:lineRule="auto"/>
      </w:pPr>
      <w:r>
        <w:rPr>
          <w:rFonts w:eastAsia="source serif 4" w:cs="source serif 4" w:ascii="source serif 4" w:hAnsi="source serif 4"/>
          <w:color w:val="000000"/>
          <w:sz w:val="21"/>
        </w:rPr>
        <w:t xml:space="preserve">Contexte : « Je travaille dans une MJC, nous organisons un atelier de 1h30 sur la détection de faux contenus générés par IA avec un groupe de 12 jeunes de 14 ans, niveau hétérogène, en soirée. »</w:t>
      </w:r>
    </w:p>
    <w:p>
      <w:pPr>
        <w:numPr>
          <w:ilvl w:val="0"/>
          <w:numId w:val="4"/>
        </w:numPr>
        <w:spacing w:line="360" w:before="105" w:after="105" w:lineRule="auto"/>
      </w:pPr>
      <w:r>
        <w:rPr>
          <w:rFonts w:eastAsia="source serif 4" w:cs="source serif 4" w:ascii="source serif 4" w:hAnsi="source serif 4"/>
          <w:color w:val="000000"/>
          <w:sz w:val="21"/>
        </w:rPr>
        <w:t xml:space="preserve">Tâche : « Propose une fiche d’activité détaillée avec objectifs pédagogiques, matériel, déroulé étape par étape, et questions de débrief. »</w:t>
      </w:r>
    </w:p>
    <w:p>
      <w:pPr>
        <w:numPr>
          <w:ilvl w:val="0"/>
          <w:numId w:val="4"/>
        </w:numPr>
        <w:spacing w:line="360" w:before="105" w:after="105" w:lineRule="auto"/>
      </w:pPr>
      <w:r>
        <w:rPr>
          <w:rFonts w:eastAsia="source serif 4" w:cs="source serif 4" w:ascii="source serif 4" w:hAnsi="source serif 4"/>
          <w:color w:val="000000"/>
          <w:sz w:val="21"/>
        </w:rPr>
        <w:t xml:space="preserve">Format : « Présente la réponse sous forme de plan structuré avec titres, sous‑titres et puces. »</w:t>
      </w:r>
    </w:p>
    <w:p>
      <w:pPr>
        <w:numPr>
          <w:ilvl w:val="0"/>
          <w:numId w:val="4"/>
        </w:numPr>
        <w:spacing w:line="360" w:before="105" w:after="105" w:lineRule="auto"/>
      </w:pPr>
      <w:r>
        <w:rPr>
          <w:rFonts w:eastAsia="source serif 4" w:cs="source serif 4" w:ascii="source serif 4" w:hAnsi="source serif 4"/>
          <w:color w:val="000000"/>
          <w:sz w:val="21"/>
        </w:rPr>
        <w:t xml:space="preserve">Exemples/critères : « Le ton doit être concret et opérationnel, sans jargon juridique. Limite la fiche à une page A4. »</w:t>
      </w:r>
    </w:p>
    <w:p>
      <w:pPr>
        <w:spacing w:line="360" w:after="210" w:lineRule="auto"/>
      </w:pPr>
      <w:r>
        <w:rPr>
          <w:rFonts w:eastAsia="source serif 4" w:cs="source serif 4" w:ascii="source serif 4" w:hAnsi="source serif 4"/>
          <w:b/>
          <w:color w:val="000000"/>
        </w:rPr>
        <w:t xml:space="preserve">Exemple 2 – Support de communication</w:t>
      </w:r>
    </w:p>
    <w:p>
      <w:pPr>
        <w:numPr>
          <w:ilvl w:val="0"/>
          <w:numId w:val="5"/>
        </w:numPr>
        <w:spacing w:line="360" w:before="105" w:after="105" w:lineRule="auto"/>
      </w:pPr>
      <w:r>
        <w:rPr>
          <w:rFonts w:eastAsia="source serif 4" w:cs="source serif 4" w:ascii="source serif 4" w:hAnsi="source serif 4"/>
          <w:color w:val="000000"/>
          <w:sz w:val="21"/>
        </w:rPr>
        <w:t xml:space="preserve">Rôle : « Tu es un chargé de communication d’une association jeunesse. »</w:t>
      </w:r>
    </w:p>
    <w:p>
      <w:pPr>
        <w:numPr>
          <w:ilvl w:val="0"/>
          <w:numId w:val="5"/>
        </w:numPr>
        <w:spacing w:line="360" w:before="105" w:after="105" w:lineRule="auto"/>
      </w:pPr>
      <w:r>
        <w:rPr>
          <w:rFonts w:eastAsia="source serif 4" w:cs="source serif 4" w:ascii="source serif 4" w:hAnsi="source serif 4"/>
          <w:color w:val="000000"/>
          <w:sz w:val="21"/>
        </w:rPr>
        <w:t xml:space="preserve">Contexte : « L’association organise une soirée débat sur l’IA et les jeunes, à destination des 15‑25 ans, dans une salle de quartier. »</w:t>
      </w:r>
    </w:p>
    <w:p>
      <w:pPr>
        <w:numPr>
          <w:ilvl w:val="0"/>
          <w:numId w:val="5"/>
        </w:numPr>
        <w:spacing w:line="360" w:before="105" w:after="105" w:lineRule="auto"/>
      </w:pPr>
      <w:r>
        <w:rPr>
          <w:rFonts w:eastAsia="source serif 4" w:cs="source serif 4" w:ascii="source serif 4" w:hAnsi="source serif 4"/>
          <w:color w:val="000000"/>
          <w:sz w:val="21"/>
        </w:rPr>
        <w:t xml:space="preserve">Tâche : « Rédige un texte pour un post Instagram qui donne envie de venir, explique en quelques mots le thème, et invite à s’inscrire. »</w:t>
      </w:r>
    </w:p>
    <w:p>
      <w:pPr>
        <w:numPr>
          <w:ilvl w:val="0"/>
          <w:numId w:val="5"/>
        </w:numPr>
        <w:spacing w:line="360" w:before="105" w:after="105" w:lineRule="auto"/>
      </w:pPr>
      <w:r>
        <w:rPr>
          <w:rFonts w:eastAsia="source serif 4" w:cs="source serif 4" w:ascii="source serif 4" w:hAnsi="source serif 4"/>
          <w:color w:val="000000"/>
          <w:sz w:val="21"/>
        </w:rPr>
        <w:t xml:space="preserve">Format : « Texte court (800 caractères max), avec un ton dynamique, sans émojis, en français. Propose aussi 3 hashtags pertinents. »</w:t>
      </w:r>
    </w:p>
    <w:p>
      <w:pPr>
        <w:numPr>
          <w:ilvl w:val="0"/>
          <w:numId w:val="5"/>
        </w:numPr>
        <w:spacing w:line="360" w:before="105" w:after="105" w:lineRule="auto"/>
      </w:pPr>
      <w:r>
        <w:rPr>
          <w:rFonts w:eastAsia="source serif 4" w:cs="source serif 4" w:ascii="source serif 4" w:hAnsi="source serif 4"/>
          <w:color w:val="000000"/>
          <w:sz w:val="21"/>
        </w:rPr>
        <w:t xml:space="preserve">Exemples/critères : « Évite le vocabulaire trop technique, parle plutôt de “comprendre l’IA au quotidien”. »</w:t>
      </w:r>
    </w:p>
    <w:p>
      <w:pPr>
        <w:spacing w:line="360" w:after="210" w:lineRule="auto"/>
      </w:pPr>
      <w:r>
        <w:rPr>
          <w:rFonts w:eastAsia="source serif 4" w:cs="source serif 4" w:ascii="source serif 4" w:hAnsi="source serif 4"/>
          <w:b/>
          <w:color w:val="000000"/>
        </w:rPr>
        <w:t xml:space="preserve">Exemple 3 – Note interne ou compte‑rendu</w:t>
      </w:r>
    </w:p>
    <w:p>
      <w:pPr>
        <w:numPr>
          <w:ilvl w:val="0"/>
          <w:numId w:val="6"/>
        </w:numPr>
        <w:spacing w:line="360" w:before="105" w:after="105" w:lineRule="auto"/>
      </w:pPr>
      <w:r>
        <w:rPr>
          <w:rFonts w:eastAsia="source serif 4" w:cs="source serif 4" w:ascii="source serif 4" w:hAnsi="source serif 4"/>
          <w:color w:val="000000"/>
          <w:sz w:val="21"/>
        </w:rPr>
        <w:t xml:space="preserve">Rôle : « Tu es l’assistant·e d’un directeur de centre social. »</w:t>
      </w:r>
    </w:p>
    <w:p>
      <w:pPr>
        <w:numPr>
          <w:ilvl w:val="0"/>
          <w:numId w:val="6"/>
        </w:numPr>
        <w:spacing w:line="360" w:before="105" w:after="105" w:lineRule="auto"/>
      </w:pPr>
      <w:r>
        <w:rPr>
          <w:rFonts w:eastAsia="source serif 4" w:cs="source serif 4" w:ascii="source serif 4" w:hAnsi="source serif 4"/>
          <w:color w:val="000000"/>
          <w:sz w:val="21"/>
        </w:rPr>
        <w:t xml:space="preserve">Contexte : « Je te donne ci‑dessous une transcription de réunion de 2 pages sur les projets IA de la structure. »</w:t>
      </w:r>
    </w:p>
    <w:p>
      <w:pPr>
        <w:numPr>
          <w:ilvl w:val="0"/>
          <w:numId w:val="6"/>
        </w:numPr>
        <w:spacing w:line="360" w:before="105" w:after="105" w:lineRule="auto"/>
      </w:pPr>
      <w:r>
        <w:rPr>
          <w:rFonts w:eastAsia="source serif 4" w:cs="source serif 4" w:ascii="source serif 4" w:hAnsi="source serif 4"/>
          <w:color w:val="000000"/>
          <w:sz w:val="21"/>
        </w:rPr>
        <w:t xml:space="preserve">Tâche : « Fais‑en un compte‑rendu structuré pour l’équipe, avec un résumé, trois décisions clés, trois points de vigilance, et les prochaines étapes. »</w:t>
      </w:r>
    </w:p>
    <w:p>
      <w:pPr>
        <w:numPr>
          <w:ilvl w:val="0"/>
          <w:numId w:val="6"/>
        </w:numPr>
        <w:spacing w:line="360" w:before="105" w:after="105" w:lineRule="auto"/>
      </w:pPr>
      <w:r>
        <w:rPr>
          <w:rFonts w:eastAsia="source serif 4" w:cs="source serif 4" w:ascii="source serif 4" w:hAnsi="source serif 4"/>
          <w:color w:val="000000"/>
          <w:sz w:val="21"/>
        </w:rPr>
        <w:t xml:space="preserve">Format : « Réponse en 4 sections titrées, phrases courtes, lisibles en 3 minutes. »</w:t>
      </w:r>
    </w:p>
    <w:p>
      <w:pPr>
        <w:numPr>
          <w:ilvl w:val="0"/>
          <w:numId w:val="6"/>
        </w:numPr>
        <w:spacing w:line="360" w:before="105" w:after="105" w:lineRule="auto"/>
      </w:pPr>
      <w:r>
        <w:rPr>
          <w:rFonts w:eastAsia="source serif 4" w:cs="source serif 4" w:ascii="source serif 4" w:hAnsi="source serif 4"/>
          <w:color w:val="000000"/>
          <w:sz w:val="21"/>
        </w:rPr>
        <w:t xml:space="preserve">Exemples/critères : « N’ajoute aucune information qui ne figure pas dans la transcription. »</w:t>
      </w:r>
    </w:p>
    <w:p>
      <w:pPr>
        <w:spacing w:line="360" w:after="210" w:lineRule="auto"/>
      </w:pPr>
      <w:r>
        <w:rPr>
          <w:rFonts w:eastAsia="source serif 4" w:cs="source serif 4" w:ascii="source serif 4" w:hAnsi="source serif 4"/>
          <w:color w:val="000000"/>
        </w:rPr>
        <w:t xml:space="preserve">Ces exemples peuvent être travaillés en atelier : les participants reformulent leurs propres besoins (mail à un partenaire, projet de fiche, etc.) en RCTF(E), testent, comparent les résultats.</w:t>
      </w:r>
    </w:p>
    <w:p>
      <w:pPr>
        <w:spacing w:line="360" w:before="315" w:after="105" w:lineRule="auto"/>
        <w:ind w:left="-30"/>
        <w:jc w:val="left"/>
      </w:pPr>
      <w:bookmarkStart w:id="6" w:name="bm_3_produire_une_fiche_d_activit_69447a"/>
      <w:r>
        <w:rPr>
          <w:rFonts w:eastAsia="source serif 4" w:cs="source serif 4" w:ascii="source serif 4" w:hAnsi="source serif 4"/>
          <w:b/>
          <w:color w:val="000000"/>
          <w:sz w:val="24"/>
        </w:rPr>
        <w:t xml:space="preserve">3. Produire une fiche d’activité ou un support de communication avec l’IA</w:t>
      </w:r>
      <w:bookmarkEnd w:id="6"/>
    </w:p>
    <w:p>
      <w:pPr>
        <w:spacing w:line="360" w:before="315" w:after="105" w:lineRule="auto"/>
        <w:ind w:left="-30"/>
        <w:jc w:val="left"/>
      </w:pPr>
      <w:bookmarkStart w:id="7" w:name="bm_3_1_positionner_l_ia_comme_ass_d8ec6c"/>
      <w:r>
        <w:rPr>
          <w:rFonts w:eastAsia="source serif 4" w:cs="source serif 4" w:ascii="source serif 4" w:hAnsi="source serif 4"/>
          <w:b/>
          <w:color w:val="000000"/>
          <w:sz w:val="24"/>
        </w:rPr>
        <w:t xml:space="preserve">3.1. Positionner l’IA comme assistant, pas comme auteur principal</w:t>
      </w:r>
      <w:bookmarkEnd w:id="7"/>
    </w:p>
    <w:p>
      <w:pPr>
        <w:spacing w:line="360" w:after="210" w:lineRule="auto"/>
      </w:pPr>
      <w:r>
        <w:rPr>
          <w:rFonts w:eastAsia="source serif 4" w:cs="source serif 4" w:ascii="source serif 4" w:hAnsi="source serif 4"/>
          <w:color w:val="000000"/>
        </w:rPr>
        <w:t xml:space="preserve">Les guides pratiques insistent sur l’idée que l’IA doit être vue comme un </w:t>
      </w:r>
      <w:r>
        <w:rPr>
          <w:rFonts w:eastAsia="source serif 4" w:cs="source serif 4" w:ascii="source serif 4" w:hAnsi="source serif 4"/>
          <w:b/>
          <w:color w:val="000000"/>
        </w:rPr>
        <w:t xml:space="preserve">assistant de rédaction</w:t>
      </w:r>
      <w:r>
        <w:rPr>
          <w:rFonts w:eastAsia="source serif 4" w:cs="source serif 4" w:ascii="source serif 4" w:hAnsi="source serif 4"/>
          <w:color w:val="000000"/>
        </w:rPr>
        <w:t xml:space="preserve"> ou de mise en forme, pas comme l’auteur principal. Pour les fiches d’activité ou supports de communication, il s’agit de :[^1]</w:t>
      </w:r>
    </w:p>
    <w:p>
      <w:pPr>
        <w:numPr>
          <w:ilvl w:val="0"/>
          <w:numId w:val="7"/>
        </w:numPr>
        <w:spacing w:line="360" w:before="105" w:after="105" w:lineRule="auto"/>
      </w:pPr>
      <w:r>
        <w:rPr>
          <w:rFonts w:eastAsia="source serif 4" w:cs="source serif 4" w:ascii="source serif 4" w:hAnsi="source serif 4"/>
          <w:color w:val="000000"/>
          <w:sz w:val="21"/>
        </w:rPr>
        <w:t xml:space="preserve">partir d’un besoin réellement identifié (atelier, événement, campagne),</w:t>
      </w:r>
    </w:p>
    <w:p>
      <w:pPr>
        <w:numPr>
          <w:ilvl w:val="0"/>
          <w:numId w:val="7"/>
        </w:numPr>
        <w:spacing w:line="360" w:before="105" w:after="105" w:lineRule="auto"/>
      </w:pPr>
      <w:r>
        <w:rPr>
          <w:rFonts w:eastAsia="source serif 4" w:cs="source serif 4" w:ascii="source serif 4" w:hAnsi="source serif 4"/>
          <w:color w:val="000000"/>
          <w:sz w:val="21"/>
        </w:rPr>
        <w:t xml:space="preserve">utiliser l’IA pour proposer une première trame, des variations de formulation, des exemples, des idées,[^1]</w:t>
      </w:r>
    </w:p>
    <w:p>
      <w:pPr>
        <w:numPr>
          <w:ilvl w:val="0"/>
          <w:numId w:val="7"/>
        </w:numPr>
        <w:spacing w:line="360" w:before="105" w:after="105" w:lineRule="auto"/>
      </w:pPr>
      <w:r>
        <w:rPr>
          <w:rFonts w:eastAsia="source serif 4" w:cs="source serif 4" w:ascii="source serif 4" w:hAnsi="source serif 4"/>
          <w:color w:val="000000"/>
          <w:sz w:val="21"/>
        </w:rPr>
        <w:t xml:space="preserve">garder la </w:t>
      </w:r>
      <w:r>
        <w:rPr>
          <w:rFonts w:eastAsia="source serif 4" w:cs="source serif 4" w:ascii="source serif 4" w:hAnsi="source serif 4"/>
          <w:b/>
          <w:color w:val="000000"/>
          <w:sz w:val="21"/>
        </w:rPr>
        <w:t xml:space="preserve">décision éditoriale</w:t>
      </w:r>
      <w:r>
        <w:rPr>
          <w:rFonts w:eastAsia="source serif 4" w:cs="source serif 4" w:ascii="source serif 4" w:hAnsi="source serif 4"/>
          <w:color w:val="000000"/>
          <w:sz w:val="21"/>
        </w:rPr>
        <w:t xml:space="preserve"> (choix du message, du ton, des consignes, des visuels), en lien avec les valeurs de l’association.</w:t>
      </w:r>
    </w:p>
    <w:p>
      <w:pPr>
        <w:spacing w:line="360" w:before="315" w:after="105" w:lineRule="auto"/>
        <w:ind w:left="-30"/>
        <w:jc w:val="left"/>
      </w:pPr>
      <w:bookmarkStart w:id="8" w:name="bm_3_2_étapes_d_un_atelier_fiche_1f8ba4"/>
      <w:r>
        <w:rPr>
          <w:rFonts w:eastAsia="source serif 4" w:cs="source serif 4" w:ascii="source serif 4" w:hAnsi="source serif 4"/>
          <w:b/>
          <w:color w:val="000000"/>
          <w:sz w:val="24"/>
        </w:rPr>
        <w:t xml:space="preserve">3.2. Étapes d’un atelier « fiche / support avec IA »</w:t>
      </w:r>
      <w:bookmarkEnd w:id="8"/>
    </w:p>
    <w:p>
      <w:pPr>
        <w:spacing w:line="360" w:after="210" w:lineRule="auto"/>
      </w:pPr>
      <w:r>
        <w:rPr>
          <w:rFonts w:eastAsia="source serif 4" w:cs="source serif 4" w:ascii="source serif 4" w:hAnsi="source serif 4"/>
          <w:color w:val="000000"/>
        </w:rPr>
        <w:t xml:space="preserve">Une séquence de formation peut suivre ce déroulé :</w:t>
      </w:r>
    </w:p>
    <w:p>
      <w:pPr>
        <w:numPr>
          <w:ilvl w:val="0"/>
          <w:numId w:val="8"/>
        </w:numPr>
        <w:spacing w:line="360" w:before="105" w:after="105" w:lineRule="auto"/>
      </w:pPr>
      <w:r>
        <w:rPr>
          <w:rFonts w:eastAsia="source serif 4" w:cs="source serif 4" w:ascii="source serif 4" w:hAnsi="source serif 4"/>
          <w:b/>
          <w:color w:val="000000"/>
          <w:sz w:val="21"/>
        </w:rPr>
        <w:t xml:space="preserve">Choix d’un objectif concret</w:t>
      </w:r>
      <w:r>
        <w:rPr>
          <w:rFonts w:eastAsia="source serif 4" w:cs="source serif 4" w:ascii="source serif 4" w:hAnsi="source serif 4"/>
          <w:color w:val="000000"/>
          <w:sz w:val="21"/>
        </w:rPr>
        <w:t xml:space="preserve"> : chaque participant choisit soit une fiche d’activité (atelier avec jeunes / public), soit un support de communication (affiche, post, flyer numérique).</w:t>
      </w:r>
    </w:p>
    <w:p>
      <w:pPr>
        <w:numPr>
          <w:ilvl w:val="0"/>
          <w:numId w:val="8"/>
        </w:numPr>
        <w:spacing w:line="360" w:before="105" w:after="105" w:lineRule="auto"/>
      </w:pPr>
      <w:r>
        <w:rPr>
          <w:rFonts w:eastAsia="source serif 4" w:cs="source serif 4" w:ascii="source serif 4" w:hAnsi="source serif 4"/>
          <w:b/>
          <w:color w:val="000000"/>
          <w:sz w:val="21"/>
        </w:rPr>
        <w:t xml:space="preserve">Écriture d’un prompt RCTF(E)</w:t>
      </w:r>
      <w:r>
        <w:rPr>
          <w:rFonts w:eastAsia="source serif 4" w:cs="source serif 4" w:ascii="source serif 4" w:hAnsi="source serif 4"/>
          <w:color w:val="000000"/>
          <w:sz w:val="21"/>
        </w:rPr>
        <w:t xml:space="preserve"> : en binôme ou petit groupe, rédaction d’un prompt complet pour produire une version 1 du contenu.</w:t>
      </w:r>
    </w:p>
    <w:p>
      <w:pPr>
        <w:numPr>
          <w:ilvl w:val="0"/>
          <w:numId w:val="8"/>
        </w:numPr>
        <w:spacing w:line="360" w:before="105" w:after="105" w:lineRule="auto"/>
      </w:pPr>
      <w:r>
        <w:rPr>
          <w:rFonts w:eastAsia="source serif 4" w:cs="source serif 4" w:ascii="source serif 4" w:hAnsi="source serif 4"/>
          <w:b/>
          <w:color w:val="000000"/>
          <w:sz w:val="21"/>
        </w:rPr>
        <w:t xml:space="preserve">Génération et critique</w:t>
      </w:r>
      <w:r>
        <w:rPr>
          <w:rFonts w:eastAsia="source serif 4" w:cs="source serif 4" w:ascii="source serif 4" w:hAnsi="source serif 4"/>
          <w:color w:val="000000"/>
          <w:sz w:val="21"/>
        </w:rPr>
        <w:t xml:space="preserve"> : l’IA propose un contenu ; les participants l’analysent (clarté, pertinence, ton, réalisme logistique, alignement avec les valeurs).</w:t>
      </w:r>
    </w:p>
    <w:p>
      <w:pPr>
        <w:numPr>
          <w:ilvl w:val="0"/>
          <w:numId w:val="8"/>
        </w:numPr>
        <w:spacing w:line="360" w:before="105" w:after="105" w:lineRule="auto"/>
      </w:pPr>
      <w:r>
        <w:rPr>
          <w:rFonts w:eastAsia="source serif 4" w:cs="source serif 4" w:ascii="source serif 4" w:hAnsi="source serif 4"/>
          <w:b/>
          <w:color w:val="000000"/>
          <w:sz w:val="21"/>
        </w:rPr>
        <w:t xml:space="preserve">Réécriture humaine</w:t>
      </w:r>
      <w:r>
        <w:rPr>
          <w:rFonts w:eastAsia="source serif 4" w:cs="source serif 4" w:ascii="source serif 4" w:hAnsi="source serif 4"/>
          <w:color w:val="000000"/>
          <w:sz w:val="21"/>
        </w:rPr>
        <w:t xml:space="preserve"> : chacun remanie le contenu (coupe, ajoute, nuance, adapte), en veillant à ce que le produit final soit assumé comme production de la structure.</w:t>
      </w:r>
    </w:p>
    <w:p>
      <w:pPr>
        <w:numPr>
          <w:ilvl w:val="0"/>
          <w:numId w:val="8"/>
        </w:numPr>
        <w:spacing w:line="360" w:before="105" w:after="105" w:lineRule="auto"/>
      </w:pPr>
      <w:r>
        <w:rPr>
          <w:rFonts w:eastAsia="source serif 4" w:cs="source serif 4" w:ascii="source serif 4" w:hAnsi="source serif 4"/>
          <w:b/>
          <w:color w:val="000000"/>
          <w:sz w:val="21"/>
        </w:rPr>
        <w:t xml:space="preserve">Vérification juridique et éthique</w:t>
      </w:r>
      <w:r>
        <w:rPr>
          <w:rFonts w:eastAsia="source serif 4" w:cs="source serif 4" w:ascii="source serif 4" w:hAnsi="source serif 4"/>
          <w:color w:val="000000"/>
          <w:sz w:val="21"/>
        </w:rPr>
        <w:t xml:space="preserve"> : s’il y a des données personnelles ou des images, vérifier que les règles de base (voir section 5) sont respectées.[</w:t>
      </w:r>
      <w:r>
        <w:rPr>
          <w:rFonts w:eastAsia="source serif 4" w:cs="source serif 4" w:ascii="source serif 4" w:hAnsi="source serif 4"/>
          <w:color w:val="000000"/>
          <w:sz w:val="21"/>
          <w:vertAlign w:val="superscript"/>
        </w:rPr>
        <w:t xml:space="preserve">4][</w:t>
      </w:r>
      <w:r>
        <w:rPr>
          <w:rFonts w:eastAsia="source serif 4" w:cs="source serif 4" w:ascii="source serif 4" w:hAnsi="source serif 4"/>
          <w:color w:val="000000"/>
          <w:sz w:val="21"/>
        </w:rPr>
        <w:t xml:space="preserve">11][^2]</w:t>
      </w:r>
    </w:p>
    <w:p>
      <w:pPr>
        <w:spacing w:line="360" w:after="210" w:lineRule="auto"/>
      </w:pPr>
      <w:r>
        <w:rPr>
          <w:rFonts w:eastAsia="source serif 4" w:cs="source serif 4" w:ascii="source serif 4" w:hAnsi="source serif 4"/>
          <w:color w:val="000000"/>
        </w:rPr>
        <w:t xml:space="preserve">L’objectif pédagogique est que chaque participant reparte avec au moins </w:t>
      </w:r>
      <w:r>
        <w:rPr>
          <w:rFonts w:eastAsia="source serif 4" w:cs="source serif 4" w:ascii="source serif 4" w:hAnsi="source serif 4"/>
          <w:b/>
          <w:color w:val="000000"/>
        </w:rPr>
        <w:t xml:space="preserve">une fiche d’activité ou un support de communication adapté</w:t>
      </w:r>
      <w:r>
        <w:rPr>
          <w:rFonts w:eastAsia="source serif 4" w:cs="source serif 4" w:ascii="source serif 4" w:hAnsi="source serif 4"/>
          <w:color w:val="000000"/>
        </w:rPr>
        <w:t xml:space="preserve">, et une méthode pour en produire d’autres.</w:t>
      </w:r>
    </w:p>
    <w:p>
      <w:pPr>
        <w:spacing w:line="360" w:before="315" w:after="105" w:lineRule="auto"/>
        <w:ind w:left="-30"/>
        <w:jc w:val="left"/>
      </w:pPr>
      <w:bookmarkStart w:id="9" w:name="bm_4_générer_et_choisir_une_image_c1a73d"/>
      <w:r>
        <w:rPr>
          <w:rFonts w:eastAsia="source serif 4" w:cs="source serif 4" w:ascii="source serif 4" w:hAnsi="source serif 4"/>
          <w:b/>
          <w:color w:val="000000"/>
          <w:sz w:val="24"/>
        </w:rPr>
        <w:t xml:space="preserve">4. Générer et choisir une image IA : qualité et droit</w:t>
      </w:r>
      <w:bookmarkEnd w:id="9"/>
    </w:p>
    <w:p>
      <w:pPr>
        <w:spacing w:line="360" w:before="315" w:after="105" w:lineRule="auto"/>
        <w:ind w:left="-30"/>
        <w:jc w:val="left"/>
      </w:pPr>
      <w:bookmarkStart w:id="10" w:name="bm_4_1_critères_de_qualité_visuel_9dac5f"/>
      <w:r>
        <w:rPr>
          <w:rFonts w:eastAsia="source serif 4" w:cs="source serif 4" w:ascii="source serif 4" w:hAnsi="source serif 4"/>
          <w:b/>
          <w:color w:val="000000"/>
          <w:sz w:val="24"/>
        </w:rPr>
        <w:t xml:space="preserve">4.1. Critères de qualité visuelle et de pertinence</w:t>
      </w:r>
      <w:bookmarkEnd w:id="10"/>
    </w:p>
    <w:p>
      <w:pPr>
        <w:spacing w:line="360" w:after="210" w:lineRule="auto"/>
      </w:pPr>
      <w:r>
        <w:rPr>
          <w:rFonts w:eastAsia="source serif 4" w:cs="source serif 4" w:ascii="source serif 4" w:hAnsi="source serif 4"/>
          <w:color w:val="000000"/>
        </w:rPr>
        <w:t xml:space="preserve">Pour les besoins de communication ou d’animation, des générateurs d’images IA peuvent être utilisés pour créer des visuels originaux. Les critères de qualité à travailler sont :</w:t>
      </w:r>
    </w:p>
    <w:p>
      <w:pPr>
        <w:numPr>
          <w:ilvl w:val="0"/>
          <w:numId w:val="9"/>
        </w:numPr>
        <w:spacing w:line="360" w:before="105" w:after="105" w:lineRule="auto"/>
      </w:pPr>
      <w:r>
        <w:rPr>
          <w:rFonts w:eastAsia="source serif 4" w:cs="source serif 4" w:ascii="source serif 4" w:hAnsi="source serif 4"/>
          <w:color w:val="000000"/>
          <w:sz w:val="21"/>
        </w:rPr>
        <w:t xml:space="preserve">adéquation au message (thème, public, ton) ;</w:t>
      </w:r>
    </w:p>
    <w:p>
      <w:pPr>
        <w:numPr>
          <w:ilvl w:val="0"/>
          <w:numId w:val="9"/>
        </w:numPr>
        <w:spacing w:line="360" w:before="105" w:after="105" w:lineRule="auto"/>
      </w:pPr>
      <w:r>
        <w:rPr>
          <w:rFonts w:eastAsia="source serif 4" w:cs="source serif 4" w:ascii="source serif 4" w:hAnsi="source serif 4"/>
          <w:color w:val="000000"/>
          <w:sz w:val="21"/>
        </w:rPr>
        <w:t xml:space="preserve">lisibilité (clarté des éléments, absence de détails perturbants) ;</w:t>
      </w:r>
    </w:p>
    <w:p>
      <w:pPr>
        <w:numPr>
          <w:ilvl w:val="0"/>
          <w:numId w:val="9"/>
        </w:numPr>
        <w:spacing w:line="360" w:before="105" w:after="105" w:lineRule="auto"/>
      </w:pPr>
      <w:r>
        <w:rPr>
          <w:rFonts w:eastAsia="source serif 4" w:cs="source serif 4" w:ascii="source serif 4" w:hAnsi="source serif 4"/>
          <w:color w:val="000000"/>
          <w:sz w:val="21"/>
        </w:rPr>
        <w:t xml:space="preserve">cohérence (mains, visages, perspectives, textes lisibles dans l’image) ;</w:t>
      </w:r>
    </w:p>
    <w:p>
      <w:pPr>
        <w:numPr>
          <w:ilvl w:val="0"/>
          <w:numId w:val="9"/>
        </w:numPr>
        <w:spacing w:line="360" w:before="105" w:after="105" w:lineRule="auto"/>
      </w:pPr>
      <w:r>
        <w:rPr>
          <w:rFonts w:eastAsia="source serif 4" w:cs="source serif 4" w:ascii="source serif 4" w:hAnsi="source serif 4"/>
          <w:color w:val="000000"/>
          <w:sz w:val="21"/>
        </w:rPr>
        <w:t xml:space="preserve">compatibilité avec les supports (formats, couleurs, contraste).[^1]</w:t>
      </w:r>
    </w:p>
    <w:p>
      <w:pPr>
        <w:spacing w:line="360" w:after="210" w:lineRule="auto"/>
      </w:pPr>
      <w:r>
        <w:rPr>
          <w:rFonts w:eastAsia="source serif 4" w:cs="source serif 4" w:ascii="source serif 4" w:hAnsi="source serif 4"/>
          <w:color w:val="000000"/>
        </w:rPr>
        <w:t xml:space="preserve">Des ateliers peuvent proposer de générer plusieurs images à partir d’un même prompt, puis de les </w:t>
      </w:r>
      <w:r>
        <w:rPr>
          <w:rFonts w:eastAsia="source serif 4" w:cs="source serif 4" w:ascii="source serif 4" w:hAnsi="source serif 4"/>
          <w:b/>
          <w:color w:val="000000"/>
        </w:rPr>
        <w:t xml:space="preserve">comparer</w:t>
      </w:r>
      <w:r>
        <w:rPr>
          <w:rFonts w:eastAsia="source serif 4" w:cs="source serif 4" w:ascii="source serif 4" w:hAnsi="source serif 4"/>
          <w:color w:val="000000"/>
        </w:rPr>
        <w:t xml:space="preserve"> à partir d’une grille de critères construite collectivement.</w:t>
      </w:r>
    </w:p>
    <w:p>
      <w:pPr>
        <w:spacing w:line="360" w:before="315" w:after="105" w:lineRule="auto"/>
        <w:ind w:left="-30"/>
        <w:jc w:val="left"/>
      </w:pPr>
      <w:bookmarkStart w:id="11" w:name="bm_4_2_droit_d_auteur_des_images_ia"/>
      <w:r>
        <w:rPr>
          <w:rFonts w:eastAsia="source serif 4" w:cs="source serif 4" w:ascii="source serif 4" w:hAnsi="source serif 4"/>
          <w:b/>
          <w:color w:val="000000"/>
          <w:sz w:val="24"/>
        </w:rPr>
        <w:t xml:space="preserve">4.2. Droit d’auteur des images IA</w:t>
      </w:r>
      <w:bookmarkEnd w:id="11"/>
    </w:p>
    <w:p>
      <w:pPr>
        <w:spacing w:line="360" w:after="210" w:lineRule="auto"/>
      </w:pPr>
      <w:r>
        <w:rPr>
          <w:rFonts w:eastAsia="source serif 4" w:cs="source serif 4" w:ascii="source serif 4" w:hAnsi="source serif 4"/>
          <w:color w:val="000000"/>
        </w:rPr>
        <w:t xml:space="preserve">En droit français, le droit d’auteur protège les « œuvres de l’esprit » qui portent l’empreinte de la personnalité d’un auteur, lequel doit être une personne physique. Les analyses juridiques récentes convergent sur deux points :[</w:t>
      </w:r>
      <w:r>
        <w:rPr>
          <w:rFonts w:eastAsia="source serif 4" w:cs="source serif 4" w:ascii="source serif 4" w:hAnsi="source serif 4"/>
          <w:color w:val="000000"/>
          <w:vertAlign w:val="superscript"/>
        </w:rPr>
        <w:t xml:space="preserve">3][</w:t>
      </w:r>
      <w:r>
        <w:rPr>
          <w:rFonts w:eastAsia="source serif 4" w:cs="source serif 4" w:ascii="source serif 4" w:hAnsi="source serif 4"/>
          <w:color w:val="000000"/>
        </w:rPr>
        <w:t xml:space="preserve">9][^7]</w:t>
      </w:r>
    </w:p>
    <w:p>
      <w:pPr>
        <w:numPr>
          <w:ilvl w:val="0"/>
          <w:numId w:val="10"/>
        </w:numPr>
        <w:spacing w:line="360" w:before="105" w:after="105" w:lineRule="auto"/>
      </w:pPr>
      <w:r>
        <w:rPr>
          <w:rFonts w:eastAsia="source serif 4" w:cs="source serif 4" w:ascii="source serif 4" w:hAnsi="source serif 4"/>
          <w:color w:val="000000"/>
          <w:sz w:val="21"/>
        </w:rPr>
        <w:t xml:space="preserve">une image 100% générée par IA sur la base d’un simple prompt, sans intervention créative significative, n’est en principe pas protégée par le droit d’auteur : l’IA ne peut pas être « auteur », et l’utilisateur qui se contente de quelques mots n’exerce pas un contrôle créatif suffisant ;[</w:t>
      </w:r>
      <w:r>
        <w:rPr>
          <w:rFonts w:eastAsia="source serif 4" w:cs="source serif 4" w:ascii="source serif 4" w:hAnsi="source serif 4"/>
          <w:color w:val="000000"/>
          <w:sz w:val="21"/>
          <w:vertAlign w:val="superscript"/>
        </w:rPr>
        <w:t xml:space="preserve">7][</w:t>
      </w:r>
      <w:r>
        <w:rPr>
          <w:rFonts w:eastAsia="source serif 4" w:cs="source serif 4" w:ascii="source serif 4" w:hAnsi="source serif 4"/>
          <w:color w:val="000000"/>
          <w:sz w:val="21"/>
        </w:rPr>
        <w:t xml:space="preserve">3]</w:t>
      </w:r>
    </w:p>
    <w:p>
      <w:pPr>
        <w:numPr>
          <w:ilvl w:val="0"/>
          <w:numId w:val="10"/>
        </w:numPr>
        <w:spacing w:line="360" w:before="105" w:after="105" w:lineRule="auto"/>
      </w:pPr>
      <w:r>
        <w:rPr>
          <w:rFonts w:eastAsia="source serif 4" w:cs="source serif 4" w:ascii="source serif 4" w:hAnsi="source serif 4"/>
          <w:color w:val="000000"/>
          <w:sz w:val="21"/>
        </w:rPr>
        <w:t xml:space="preserve">en pratique, ces images sont dans une zone grise : on ne peut pas revendiquer de monopole fort dessus, mais les conditions d’utilisation du service peuvent comporter des restrictions (licences, clauses contractuelles).[</w:t>
      </w:r>
      <w:r>
        <w:rPr>
          <w:rFonts w:eastAsia="source serif 4" w:cs="source serif 4" w:ascii="source serif 4" w:hAnsi="source serif 4"/>
          <w:color w:val="000000"/>
          <w:sz w:val="21"/>
          <w:vertAlign w:val="superscript"/>
        </w:rPr>
        <w:t xml:space="preserve">9][</w:t>
      </w:r>
      <w:r>
        <w:rPr>
          <w:rFonts w:eastAsia="source serif 4" w:cs="source serif 4" w:ascii="source serif 4" w:hAnsi="source serif 4"/>
          <w:color w:val="000000"/>
          <w:sz w:val="21"/>
        </w:rPr>
        <w:t xml:space="preserve">3][^7]</w:t>
      </w:r>
    </w:p>
    <w:p>
      <w:pPr>
        <w:spacing w:line="360" w:after="210" w:lineRule="auto"/>
      </w:pPr>
      <w:r>
        <w:rPr>
          <w:rFonts w:eastAsia="source serif 4" w:cs="source serif 4" w:ascii="source serif 4" w:hAnsi="source serif 4"/>
          <w:color w:val="000000"/>
        </w:rPr>
        <w:t xml:space="preserve">Cela signifie qu’une association peut, en général, </w:t>
      </w:r>
      <w:r>
        <w:rPr>
          <w:rFonts w:eastAsia="source serif 4" w:cs="source serif 4" w:ascii="source serif 4" w:hAnsi="source serif 4"/>
          <w:b/>
          <w:color w:val="000000"/>
        </w:rPr>
        <w:t xml:space="preserve">utiliser des images générées par IA pour sa communication</w:t>
      </w:r>
      <w:r>
        <w:rPr>
          <w:rFonts w:eastAsia="source serif 4" w:cs="source serif 4" w:ascii="source serif 4" w:hAnsi="source serif 4"/>
          <w:color w:val="000000"/>
        </w:rPr>
        <w:t xml:space="preserve">, mais :</w:t>
      </w:r>
    </w:p>
    <w:p>
      <w:pPr>
        <w:numPr>
          <w:ilvl w:val="0"/>
          <w:numId w:val="11"/>
        </w:numPr>
        <w:spacing w:line="360" w:before="105" w:after="105" w:lineRule="auto"/>
      </w:pPr>
      <w:r>
        <w:rPr>
          <w:rFonts w:eastAsia="source serif 4" w:cs="source serif 4" w:ascii="source serif 4" w:hAnsi="source serif 4"/>
          <w:color w:val="000000"/>
          <w:sz w:val="21"/>
        </w:rPr>
        <w:t xml:space="preserve">elle doit vérifier les </w:t>
      </w:r>
      <w:r>
        <w:rPr>
          <w:rFonts w:eastAsia="source serif 4" w:cs="source serif 4" w:ascii="source serif 4" w:hAnsi="source serif 4"/>
          <w:b/>
          <w:color w:val="000000"/>
          <w:sz w:val="21"/>
        </w:rPr>
        <w:t xml:space="preserve">conditions d’utilisation du service</w:t>
      </w:r>
      <w:r>
        <w:rPr>
          <w:rFonts w:eastAsia="source serif 4" w:cs="source serif 4" w:ascii="source serif 4" w:hAnsi="source serif 4"/>
          <w:color w:val="000000"/>
          <w:sz w:val="21"/>
        </w:rPr>
        <w:t xml:space="preserve"> (certains interdisent un usage commercial, ou imposent de citer la source) ;[</w:t>
      </w:r>
      <w:r>
        <w:rPr>
          <w:rFonts w:eastAsia="source serif 4" w:cs="source serif 4" w:ascii="source serif 4" w:hAnsi="source serif 4"/>
          <w:color w:val="000000"/>
          <w:sz w:val="21"/>
          <w:vertAlign w:val="superscript"/>
        </w:rPr>
        <w:t xml:space="preserve">3][</w:t>
      </w:r>
      <w:r>
        <w:rPr>
          <w:rFonts w:eastAsia="source serif 4" w:cs="source serif 4" w:ascii="source serif 4" w:hAnsi="source serif 4"/>
          <w:color w:val="000000"/>
          <w:sz w:val="21"/>
        </w:rPr>
        <w:t xml:space="preserve">7]</w:t>
      </w:r>
    </w:p>
    <w:p>
      <w:pPr>
        <w:numPr>
          <w:ilvl w:val="0"/>
          <w:numId w:val="11"/>
        </w:numPr>
        <w:spacing w:line="360" w:before="105" w:after="105" w:lineRule="auto"/>
      </w:pPr>
      <w:r>
        <w:rPr>
          <w:rFonts w:eastAsia="source serif 4" w:cs="source serif 4" w:ascii="source serif 4" w:hAnsi="source serif 4"/>
          <w:color w:val="000000"/>
          <w:sz w:val="21"/>
        </w:rPr>
        <w:t xml:space="preserve">elle ne peut pas toujours empêcher des tiers de réutiliser l’image, faute de droit d’auteur solide.[^7]</w:t>
      </w:r>
    </w:p>
    <w:p>
      <w:pPr>
        <w:spacing w:line="360" w:before="315" w:after="105" w:lineRule="auto"/>
        <w:ind w:left="-30"/>
        <w:jc w:val="left"/>
      </w:pPr>
      <w:bookmarkStart w:id="12" w:name="bm_4_3_droit_à_l_image_et_contenu_57619b"/>
      <w:r>
        <w:rPr>
          <w:rFonts w:eastAsia="source serif 4" w:cs="source serif 4" w:ascii="source serif 4" w:hAnsi="source serif 4"/>
          <w:b/>
          <w:color w:val="000000"/>
          <w:sz w:val="24"/>
        </w:rPr>
        <w:t xml:space="preserve">4.3. Droit à l’image et contenu des prompts</w:t>
      </w:r>
      <w:bookmarkEnd w:id="12"/>
    </w:p>
    <w:p>
      <w:pPr>
        <w:spacing w:line="360" w:after="210" w:lineRule="auto"/>
      </w:pPr>
      <w:r>
        <w:rPr>
          <w:rFonts w:eastAsia="source serif 4" w:cs="source serif 4" w:ascii="source serif 4" w:hAnsi="source serif 4"/>
          <w:color w:val="000000"/>
        </w:rPr>
        <w:t xml:space="preserve">Indépendamment du droit d’auteur, il faut respecter le </w:t>
      </w:r>
      <w:r>
        <w:rPr>
          <w:rFonts w:eastAsia="source serif 4" w:cs="source serif 4" w:ascii="source serif 4" w:hAnsi="source serif 4"/>
          <w:b/>
          <w:color w:val="000000"/>
        </w:rPr>
        <w:t xml:space="preserve">droit à l’image</w:t>
      </w:r>
      <w:r>
        <w:rPr>
          <w:rFonts w:eastAsia="source serif 4" w:cs="source serif 4" w:ascii="source serif 4" w:hAnsi="source serif 4"/>
          <w:color w:val="000000"/>
        </w:rPr>
        <w:t xml:space="preserve"> et éviter les contenus illicites ou discriminatoires :</w:t>
      </w:r>
    </w:p>
    <w:p>
      <w:pPr>
        <w:numPr>
          <w:ilvl w:val="0"/>
          <w:numId w:val="12"/>
        </w:numPr>
        <w:spacing w:line="360" w:before="105" w:after="105" w:lineRule="auto"/>
      </w:pPr>
      <w:r>
        <w:rPr>
          <w:rFonts w:eastAsia="source serif 4" w:cs="source serif 4" w:ascii="source serif 4" w:hAnsi="source serif 4"/>
          <w:color w:val="000000"/>
          <w:sz w:val="21"/>
        </w:rPr>
        <w:t xml:space="preserve">ne pas générer ni diffuser d’images représentant des personnes identifiables sans leur consentement ;[</w:t>
      </w:r>
      <w:r>
        <w:rPr>
          <w:rFonts w:eastAsia="source serif 4" w:cs="source serif 4" w:ascii="source serif 4" w:hAnsi="source serif 4"/>
          <w:color w:val="000000"/>
          <w:sz w:val="21"/>
          <w:vertAlign w:val="superscript"/>
        </w:rPr>
        <w:t xml:space="preserve">14][</w:t>
      </w:r>
      <w:r>
        <w:rPr>
          <w:rFonts w:eastAsia="source serif 4" w:cs="source serif 4" w:ascii="source serif 4" w:hAnsi="source serif 4"/>
          <w:color w:val="000000"/>
          <w:sz w:val="21"/>
        </w:rPr>
        <w:t xml:space="preserve">8]</w:t>
      </w:r>
    </w:p>
    <w:p>
      <w:pPr>
        <w:numPr>
          <w:ilvl w:val="0"/>
          <w:numId w:val="12"/>
        </w:numPr>
        <w:spacing w:line="360" w:before="105" w:after="105" w:lineRule="auto"/>
      </w:pPr>
      <w:r>
        <w:rPr>
          <w:rFonts w:eastAsia="source serif 4" w:cs="source serif 4" w:ascii="source serif 4" w:hAnsi="source serif 4"/>
          <w:color w:val="000000"/>
          <w:sz w:val="21"/>
        </w:rPr>
        <w:t xml:space="preserve">ne pas demander à l’IA de reproduire ou modifier des œuvres protégées (photographies, illustrations) sans autorisation, sous peine de contrefaçon ;[</w:t>
      </w:r>
      <w:r>
        <w:rPr>
          <w:rFonts w:eastAsia="source serif 4" w:cs="source serif 4" w:ascii="source serif 4" w:hAnsi="source serif 4"/>
          <w:color w:val="000000"/>
          <w:sz w:val="21"/>
          <w:vertAlign w:val="superscript"/>
        </w:rPr>
        <w:t xml:space="preserve">8][</w:t>
      </w:r>
      <w:r>
        <w:rPr>
          <w:rFonts w:eastAsia="source serif 4" w:cs="source serif 4" w:ascii="source serif 4" w:hAnsi="source serif 4"/>
          <w:color w:val="000000"/>
          <w:sz w:val="21"/>
        </w:rPr>
        <w:t xml:space="preserve">9]</w:t>
      </w:r>
    </w:p>
    <w:p>
      <w:pPr>
        <w:numPr>
          <w:ilvl w:val="0"/>
          <w:numId w:val="12"/>
        </w:numPr>
        <w:spacing w:line="360" w:before="105" w:after="105" w:lineRule="auto"/>
      </w:pPr>
      <w:r>
        <w:rPr>
          <w:rFonts w:eastAsia="source serif 4" w:cs="source serif 4" w:ascii="source serif 4" w:hAnsi="source serif 4"/>
          <w:color w:val="000000"/>
          <w:sz w:val="21"/>
        </w:rPr>
        <w:t xml:space="preserve">éviter les prompts visant des représentations stéréotypées, discriminatoires ou portant atteinte à la dignité.</w:t>
      </w:r>
    </w:p>
    <w:p>
      <w:pPr>
        <w:spacing w:line="360" w:after="210" w:lineRule="auto"/>
      </w:pPr>
      <w:r>
        <w:rPr>
          <w:rFonts w:eastAsia="source serif 4" w:cs="source serif 4" w:ascii="source serif 4" w:hAnsi="source serif 4"/>
          <w:color w:val="000000"/>
        </w:rPr>
        <w:t xml:space="preserve">Des guides pratiques (APIE, formations en droit d’auteur) rappellent les étapes pour utiliser un contenu en respectant le droit d’auteur et le droit à l’image : déterminer l’usage, vérifier les conditions, obtenir les autorisations nécessaires, créditer correctement.[</w:t>
      </w:r>
      <w:r>
        <w:rPr>
          <w:rFonts w:eastAsia="source serif 4" w:cs="source serif 4" w:ascii="source serif 4" w:hAnsi="source serif 4"/>
          <w:color w:val="000000"/>
          <w:vertAlign w:val="superscript"/>
        </w:rPr>
        <w:t xml:space="preserve">14][</w:t>
      </w:r>
      <w:r>
        <w:rPr>
          <w:rFonts w:eastAsia="source serif 4" w:cs="source serif 4" w:ascii="source serif 4" w:hAnsi="source serif 4"/>
          <w:color w:val="000000"/>
        </w:rPr>
        <w:t xml:space="preserve">8]</w:t>
      </w:r>
    </w:p>
    <w:p>
      <w:pPr>
        <w:spacing w:line="360" w:before="315" w:after="105" w:lineRule="auto"/>
        <w:ind w:left="-30"/>
        <w:jc w:val="left"/>
      </w:pPr>
      <w:bookmarkStart w:id="13" w:name="bm_4_4_atelier_générer_et_choisir_f5aad2"/>
      <w:r>
        <w:rPr>
          <w:rFonts w:eastAsia="source serif 4" w:cs="source serif 4" w:ascii="source serif 4" w:hAnsi="source serif 4"/>
          <w:b/>
          <w:color w:val="000000"/>
          <w:sz w:val="24"/>
        </w:rPr>
        <w:t xml:space="preserve">4.4. Atelier « générer et choisir une image IA »</w:t>
      </w:r>
      <w:bookmarkEnd w:id="13"/>
    </w:p>
    <w:p>
      <w:pPr>
        <w:spacing w:line="360" w:after="210" w:lineRule="auto"/>
      </w:pPr>
      <w:r>
        <w:rPr>
          <w:rFonts w:eastAsia="source serif 4" w:cs="source serif 4" w:ascii="source serif 4" w:hAnsi="source serif 4"/>
          <w:color w:val="000000"/>
        </w:rPr>
        <w:t xml:space="preserve">Une séquence de formation peut inclure :</w:t>
      </w:r>
    </w:p>
    <w:p>
      <w:pPr>
        <w:numPr>
          <w:ilvl w:val="0"/>
          <w:numId w:val="13"/>
        </w:numPr>
        <w:spacing w:line="360" w:before="105" w:after="105" w:lineRule="auto"/>
      </w:pPr>
      <w:r>
        <w:rPr>
          <w:rFonts w:eastAsia="source serif 4" w:cs="source serif 4" w:ascii="source serif 4" w:hAnsi="source serif 4"/>
          <w:color w:val="000000"/>
          <w:sz w:val="21"/>
        </w:rPr>
        <w:t xml:space="preserve">Définir un besoin (visuel pour un événement, illustration d’une fiche, pictogramme).</w:t>
      </w:r>
    </w:p>
    <w:p>
      <w:pPr>
        <w:numPr>
          <w:ilvl w:val="0"/>
          <w:numId w:val="13"/>
        </w:numPr>
        <w:spacing w:line="360" w:before="105" w:after="105" w:lineRule="auto"/>
      </w:pPr>
      <w:r>
        <w:rPr>
          <w:rFonts w:eastAsia="source serif 4" w:cs="source serif 4" w:ascii="source serif 4" w:hAnsi="source serif 4"/>
          <w:color w:val="000000"/>
          <w:sz w:val="21"/>
        </w:rPr>
        <w:t xml:space="preserve">Écrire un prompt structuré pour l’image (sujet, style, ambiance, couleurs, public visé).</w:t>
      </w:r>
    </w:p>
    <w:p>
      <w:pPr>
        <w:numPr>
          <w:ilvl w:val="0"/>
          <w:numId w:val="13"/>
        </w:numPr>
        <w:spacing w:line="360" w:before="105" w:after="105" w:lineRule="auto"/>
      </w:pPr>
      <w:r>
        <w:rPr>
          <w:rFonts w:eastAsia="source serif 4" w:cs="source serif 4" w:ascii="source serif 4" w:hAnsi="source serif 4"/>
          <w:color w:val="000000"/>
          <w:sz w:val="21"/>
        </w:rPr>
        <w:t xml:space="preserve">Générer plusieurs variantes et les comparer selon une grille qualité / droit (cohérence, lisibilité, absence de personnes identifiables, conformité aux valeurs de l’asso).</w:t>
      </w:r>
    </w:p>
    <w:p>
      <w:pPr>
        <w:numPr>
          <w:ilvl w:val="0"/>
          <w:numId w:val="13"/>
        </w:numPr>
        <w:spacing w:line="360" w:before="105" w:after="105" w:lineRule="auto"/>
      </w:pPr>
      <w:r>
        <w:rPr>
          <w:rFonts w:eastAsia="source serif 4" w:cs="source serif 4" w:ascii="source serif 4" w:hAnsi="source serif 4"/>
          <w:color w:val="000000"/>
          <w:sz w:val="21"/>
        </w:rPr>
        <w:t xml:space="preserve">Choisir une image et, si besoin, la retoucher (recadrage, ajout de texte, ajustement des couleurs) dans un outil graphique.</w:t>
      </w:r>
    </w:p>
    <w:p>
      <w:pPr>
        <w:numPr>
          <w:ilvl w:val="0"/>
          <w:numId w:val="13"/>
        </w:numPr>
        <w:spacing w:line="360" w:before="105" w:after="105" w:lineRule="auto"/>
      </w:pPr>
      <w:r>
        <w:rPr>
          <w:rFonts w:eastAsia="source serif 4" w:cs="source serif 4" w:ascii="source serif 4" w:hAnsi="source serif 4"/>
          <w:color w:val="000000"/>
          <w:sz w:val="21"/>
        </w:rPr>
        <w:t xml:space="preserve">Documenter la source (nom du service, date, prompt principal) pour garder une trace et pouvoir justifier l’origine en cas de question.[</w:t>
      </w:r>
      <w:r>
        <w:rPr>
          <w:rFonts w:eastAsia="source serif 4" w:cs="source serif 4" w:ascii="source serif 4" w:hAnsi="source serif 4"/>
          <w:color w:val="000000"/>
          <w:sz w:val="21"/>
          <w:vertAlign w:val="superscript"/>
        </w:rPr>
        <w:t xml:space="preserve">9][</w:t>
      </w:r>
      <w:r>
        <w:rPr>
          <w:rFonts w:eastAsia="source serif 4" w:cs="source serif 4" w:ascii="source serif 4" w:hAnsi="source serif 4"/>
          <w:color w:val="000000"/>
          <w:sz w:val="21"/>
        </w:rPr>
        <w:t xml:space="preserve">3]</w:t>
      </w:r>
    </w:p>
    <w:p>
      <w:pPr>
        <w:spacing w:line="360" w:before="315" w:after="105" w:lineRule="auto"/>
        <w:ind w:left="-30"/>
        <w:jc w:val="left"/>
      </w:pPr>
      <w:bookmarkStart w:id="14" w:name="bm_5_règles_absolues_de_vigilance_b03127"/>
      <w:r>
        <w:rPr>
          <w:rFonts w:eastAsia="source serif 4" w:cs="source serif 4" w:ascii="source serif 4" w:hAnsi="source serif 4"/>
          <w:b/>
          <w:color w:val="000000"/>
          <w:sz w:val="24"/>
        </w:rPr>
        <w:t xml:space="preserve">5. Règles absolues de vigilance sur les données (RGPD)</w:t>
      </w:r>
      <w:bookmarkEnd w:id="14"/>
    </w:p>
    <w:p>
      <w:pPr>
        <w:spacing w:line="360" w:before="315" w:after="105" w:lineRule="auto"/>
        <w:ind w:left="-30"/>
        <w:jc w:val="left"/>
      </w:pPr>
      <w:bookmarkStart w:id="15" w:name="bm_5_1_le_rgpd_s_applique_pleinem_68169f"/>
      <w:r>
        <w:rPr>
          <w:rFonts w:eastAsia="source serif 4" w:cs="source serif 4" w:ascii="source serif 4" w:hAnsi="source serif 4"/>
          <w:b/>
          <w:color w:val="000000"/>
          <w:sz w:val="24"/>
        </w:rPr>
        <w:t xml:space="preserve">5.1. Le RGPD s’applique pleinement aux usages d’IA</w:t>
      </w:r>
      <w:bookmarkEnd w:id="15"/>
    </w:p>
    <w:p>
      <w:pPr>
        <w:spacing w:line="360" w:after="210" w:lineRule="auto"/>
      </w:pPr>
      <w:r>
        <w:rPr>
          <w:rFonts w:eastAsia="source serif 4" w:cs="source serif 4" w:ascii="source serif 4" w:hAnsi="source serif 4"/>
          <w:color w:val="000000"/>
        </w:rPr>
        <w:t xml:space="preserve">La CNIL rappelle que le RGPD s’applique à tous les traitements de données personnelles, y compris ceux qui impliquent des systèmes d’IA, même innovants. Pour un usage quotidien d’IA générative, cela signifie que </w:t>
      </w:r>
      <w:r>
        <w:rPr>
          <w:rFonts w:eastAsia="source serif 4" w:cs="source serif 4" w:ascii="source serif 4" w:hAnsi="source serif 4"/>
          <w:b/>
          <w:color w:val="000000"/>
        </w:rPr>
        <w:t xml:space="preserve">le contenu saisi dans les prompts peut être considéré comme une donnée personnelle</w:t>
      </w:r>
      <w:r>
        <w:rPr>
          <w:rFonts w:eastAsia="source serif 4" w:cs="source serif 4" w:ascii="source serif 4" w:hAnsi="source serif 4"/>
          <w:color w:val="000000"/>
        </w:rPr>
        <w:t xml:space="preserve"> s’il permet d’identifier directement ou indirectement une personne.[</w:t>
      </w:r>
      <w:r>
        <w:rPr>
          <w:rFonts w:eastAsia="source serif 4" w:cs="source serif 4" w:ascii="source serif 4" w:hAnsi="source serif 4"/>
          <w:color w:val="000000"/>
          <w:vertAlign w:val="superscript"/>
        </w:rPr>
        <w:t xml:space="preserve">15][</w:t>
      </w:r>
      <w:r>
        <w:rPr>
          <w:rFonts w:eastAsia="source serif 4" w:cs="source serif 4" w:ascii="source serif 4" w:hAnsi="source serif 4"/>
          <w:color w:val="000000"/>
        </w:rPr>
        <w:t xml:space="preserve">11][</w:t>
      </w:r>
      <w:r>
        <w:rPr>
          <w:rFonts w:eastAsia="source serif 4" w:cs="source serif 4" w:ascii="source serif 4" w:hAnsi="source serif 4"/>
          <w:color w:val="000000"/>
          <w:vertAlign w:val="superscript"/>
        </w:rPr>
        <w:t xml:space="preserve">2][</w:t>
      </w:r>
      <w:r>
        <w:rPr>
          <w:rFonts w:eastAsia="source serif 4" w:cs="source serif 4" w:ascii="source serif 4" w:hAnsi="source serif 4"/>
          <w:color w:val="000000"/>
        </w:rPr>
        <w:t xml:space="preserve">10][^4]</w:t>
      </w:r>
    </w:p>
    <w:p>
      <w:pPr>
        <w:spacing w:line="360" w:after="210" w:lineRule="auto"/>
      </w:pPr>
      <w:r>
        <w:rPr>
          <w:rFonts w:eastAsia="source serif 4" w:cs="source serif 4" w:ascii="source serif 4" w:hAnsi="source serif 4"/>
          <w:color w:val="000000"/>
        </w:rPr>
        <w:t xml:space="preserve">Les recommandations récentes de la CNIL et d’autres guides insistent sur plusieurs points :</w:t>
      </w:r>
    </w:p>
    <w:p>
      <w:pPr>
        <w:numPr>
          <w:ilvl w:val="0"/>
          <w:numId w:val="14"/>
        </w:numPr>
        <w:spacing w:line="360" w:before="105" w:after="105" w:lineRule="auto"/>
      </w:pPr>
      <w:r>
        <w:rPr>
          <w:rFonts w:eastAsia="source serif 4" w:cs="source serif 4" w:ascii="source serif 4" w:hAnsi="source serif 4"/>
          <w:color w:val="000000"/>
          <w:sz w:val="21"/>
        </w:rPr>
        <w:t xml:space="preserve">vigilance sur les </w:t>
      </w:r>
      <w:r>
        <w:rPr>
          <w:rFonts w:eastAsia="source serif 4" w:cs="source serif 4" w:ascii="source serif 4" w:hAnsi="source serif 4"/>
          <w:b/>
          <w:color w:val="000000"/>
          <w:sz w:val="21"/>
        </w:rPr>
        <w:t xml:space="preserve">données d’apprentissage</w:t>
      </w:r>
      <w:r>
        <w:rPr>
          <w:rFonts w:eastAsia="source serif 4" w:cs="source serif 4" w:ascii="source serif 4" w:hAnsi="source serif 4"/>
          <w:color w:val="000000"/>
          <w:sz w:val="21"/>
        </w:rPr>
        <w:t xml:space="preserve"> et les risques d’exfiltration (inférence, inversion de modèle) ;[</w:t>
      </w:r>
      <w:r>
        <w:rPr>
          <w:rFonts w:eastAsia="source serif 4" w:cs="source serif 4" w:ascii="source serif 4" w:hAnsi="source serif 4"/>
          <w:color w:val="000000"/>
          <w:sz w:val="21"/>
          <w:vertAlign w:val="superscript"/>
        </w:rPr>
        <w:t xml:space="preserve">2][</w:t>
      </w:r>
      <w:r>
        <w:rPr>
          <w:rFonts w:eastAsia="source serif 4" w:cs="source serif 4" w:ascii="source serif 4" w:hAnsi="source serif 4"/>
          <w:color w:val="000000"/>
          <w:sz w:val="21"/>
        </w:rPr>
        <w:t xml:space="preserve">10]</w:t>
      </w:r>
    </w:p>
    <w:p>
      <w:pPr>
        <w:numPr>
          <w:ilvl w:val="0"/>
          <w:numId w:val="14"/>
        </w:numPr>
        <w:spacing w:line="360" w:before="105" w:after="105" w:lineRule="auto"/>
      </w:pPr>
      <w:r>
        <w:rPr>
          <w:rFonts w:eastAsia="source serif 4" w:cs="source serif 4" w:ascii="source serif 4" w:hAnsi="source serif 4"/>
          <w:color w:val="000000"/>
          <w:sz w:val="21"/>
        </w:rPr>
        <w:t xml:space="preserve">nécessité de documenter les traitements, y compris lorsqu’on utilise des modèles open source ou des services en ligne ;[</w:t>
      </w:r>
      <w:r>
        <w:rPr>
          <w:rFonts w:eastAsia="source serif 4" w:cs="source serif 4" w:ascii="source serif 4" w:hAnsi="source serif 4"/>
          <w:color w:val="000000"/>
          <w:sz w:val="21"/>
          <w:vertAlign w:val="superscript"/>
        </w:rPr>
        <w:t xml:space="preserve">10][</w:t>
      </w:r>
      <w:r>
        <w:rPr>
          <w:rFonts w:eastAsia="source serif 4" w:cs="source serif 4" w:ascii="source serif 4" w:hAnsi="source serif 4"/>
          <w:color w:val="000000"/>
          <w:sz w:val="21"/>
        </w:rPr>
        <w:t xml:space="preserve">4]</w:t>
      </w:r>
    </w:p>
    <w:p>
      <w:pPr>
        <w:numPr>
          <w:ilvl w:val="0"/>
          <w:numId w:val="14"/>
        </w:numPr>
        <w:spacing w:line="360" w:before="105" w:after="105" w:lineRule="auto"/>
      </w:pPr>
      <w:r>
        <w:rPr>
          <w:rFonts w:eastAsia="source serif 4" w:cs="source serif 4" w:ascii="source serif 4" w:hAnsi="source serif 4"/>
          <w:color w:val="000000"/>
          <w:sz w:val="21"/>
        </w:rPr>
        <w:t xml:space="preserve">importance de choisir des bases légales adaptées et d’informer les personnes concernées lorsque leurs données sont utilisées dans des projets IA.[</w:t>
      </w:r>
      <w:r>
        <w:rPr>
          <w:rFonts w:eastAsia="source serif 4" w:cs="source serif 4" w:ascii="source serif 4" w:hAnsi="source serif 4"/>
          <w:color w:val="000000"/>
          <w:sz w:val="21"/>
          <w:vertAlign w:val="superscript"/>
        </w:rPr>
        <w:t xml:space="preserve">11][</w:t>
      </w:r>
      <w:r>
        <w:rPr>
          <w:rFonts w:eastAsia="source serif 4" w:cs="source serif 4" w:ascii="source serif 4" w:hAnsi="source serif 4"/>
          <w:color w:val="000000"/>
          <w:sz w:val="21"/>
        </w:rPr>
        <w:t xml:space="preserve">4][^2]</w:t>
      </w:r>
    </w:p>
    <w:p>
      <w:pPr>
        <w:spacing w:line="360" w:before="315" w:after="105" w:lineRule="auto"/>
        <w:ind w:left="-30"/>
        <w:jc w:val="left"/>
      </w:pPr>
      <w:bookmarkStart w:id="16" w:name="bm_5_2_règles_absolues_pour_les_u_8657d8"/>
      <w:r>
        <w:rPr>
          <w:rFonts w:eastAsia="source serif 4" w:cs="source serif 4" w:ascii="source serif 4" w:hAnsi="source serif 4"/>
          <w:b/>
          <w:color w:val="000000"/>
          <w:sz w:val="24"/>
        </w:rPr>
        <w:t xml:space="preserve">5.2. Règles absolues pour les utilisateurs au quotidien</w:t>
      </w:r>
      <w:bookmarkEnd w:id="16"/>
    </w:p>
    <w:p>
      <w:pPr>
        <w:spacing w:line="360" w:after="210" w:lineRule="auto"/>
      </w:pPr>
      <w:r>
        <w:rPr>
          <w:rFonts w:eastAsia="source serif 4" w:cs="source serif 4" w:ascii="source serif 4" w:hAnsi="source serif 4"/>
          <w:color w:val="000000"/>
        </w:rPr>
        <w:t xml:space="preserve">Pour une formation destinée à des professionnels/bénévoles, il est utile de résumer les « règles absolues » de vigilance, par exemple sous forme de </w:t>
      </w:r>
      <w:r>
        <w:rPr>
          <w:rFonts w:eastAsia="source serif 4" w:cs="source serif 4" w:ascii="source serif 4" w:hAnsi="source serif 4"/>
          <w:b/>
          <w:color w:val="000000"/>
        </w:rPr>
        <w:t xml:space="preserve">check‑list</w:t>
      </w:r>
      <w:r>
        <w:rPr>
          <w:rFonts w:eastAsia="source serif 4" w:cs="source serif 4" w:ascii="source serif 4" w:hAnsi="source serif 4"/>
          <w:color w:val="000000"/>
        </w:rPr>
        <w:t xml:space="preserve"> :</w:t>
      </w:r>
    </w:p>
    <w:p>
      <w:pPr>
        <w:numPr>
          <w:ilvl w:val="0"/>
          <w:numId w:val="15"/>
        </w:numPr>
        <w:spacing w:line="360" w:before="105" w:after="105" w:lineRule="auto"/>
      </w:pPr>
      <w:r>
        <w:rPr>
          <w:rFonts w:eastAsia="source serif 4" w:cs="source serif 4" w:ascii="source serif 4" w:hAnsi="source serif 4"/>
          <w:b/>
          <w:color w:val="000000"/>
          <w:sz w:val="21"/>
        </w:rPr>
        <w:t xml:space="preserve">Ne jamais saisir de données sensibles ou très personnelles</w:t>
      </w:r>
      <w:r>
        <w:rPr>
          <w:rFonts w:eastAsia="source serif 4" w:cs="source serif 4" w:ascii="source serif 4" w:hAnsi="source serif 4"/>
          <w:color w:val="000000"/>
          <w:sz w:val="21"/>
        </w:rPr>
        <w:t xml:space="preserve"> dans des IA grand public (santé, situation sociale, origine, orientation, convictions, données sur des mineurs, etc.).[</w:t>
      </w:r>
      <w:r>
        <w:rPr>
          <w:rFonts w:eastAsia="source serif 4" w:cs="source serif 4" w:ascii="source serif 4" w:hAnsi="source serif 4"/>
          <w:color w:val="000000"/>
          <w:sz w:val="21"/>
          <w:vertAlign w:val="superscript"/>
        </w:rPr>
        <w:t xml:space="preserve">11][</w:t>
      </w:r>
      <w:r>
        <w:rPr>
          <w:rFonts w:eastAsia="source serif 4" w:cs="source serif 4" w:ascii="source serif 4" w:hAnsi="source serif 4"/>
          <w:color w:val="000000"/>
          <w:sz w:val="21"/>
        </w:rPr>
        <w:t xml:space="preserve">2][^10]</w:t>
      </w:r>
    </w:p>
    <w:p>
      <w:pPr>
        <w:numPr>
          <w:ilvl w:val="0"/>
          <w:numId w:val="15"/>
        </w:numPr>
        <w:spacing w:line="360" w:before="105" w:after="105" w:lineRule="auto"/>
      </w:pPr>
      <w:r>
        <w:rPr>
          <w:rFonts w:eastAsia="source serif 4" w:cs="source serif 4" w:ascii="source serif 4" w:hAnsi="source serif 4"/>
          <w:b/>
          <w:color w:val="000000"/>
          <w:sz w:val="21"/>
        </w:rPr>
        <w:t xml:space="preserve">Ne pas copier‑coller des documents internes confidentiels</w:t>
      </w:r>
      <w:r>
        <w:rPr>
          <w:rFonts w:eastAsia="source serif 4" w:cs="source serif 4" w:ascii="source serif 4" w:hAnsi="source serif 4"/>
          <w:color w:val="000000"/>
          <w:sz w:val="21"/>
        </w:rPr>
        <w:t xml:space="preserve"> (comptes rendus de réunions sensibles, évaluations, listes nominatives) dans un outil IA en ligne non maîtrisé.[</w:t>
      </w:r>
      <w:r>
        <w:rPr>
          <w:rFonts w:eastAsia="source serif 4" w:cs="source serif 4" w:ascii="source serif 4" w:hAnsi="source serif 4"/>
          <w:color w:val="000000"/>
          <w:sz w:val="21"/>
          <w:vertAlign w:val="superscript"/>
        </w:rPr>
        <w:t xml:space="preserve">4][</w:t>
      </w:r>
      <w:r>
        <w:rPr>
          <w:rFonts w:eastAsia="source serif 4" w:cs="source serif 4" w:ascii="source serif 4" w:hAnsi="source serif 4"/>
          <w:color w:val="000000"/>
          <w:sz w:val="21"/>
        </w:rPr>
        <w:t xml:space="preserve">11]</w:t>
      </w:r>
    </w:p>
    <w:p>
      <w:pPr>
        <w:numPr>
          <w:ilvl w:val="0"/>
          <w:numId w:val="15"/>
        </w:numPr>
        <w:spacing w:line="360" w:before="105" w:after="105" w:lineRule="auto"/>
      </w:pPr>
      <w:r>
        <w:rPr>
          <w:rFonts w:eastAsia="source serif 4" w:cs="source serif 4" w:ascii="source serif 4" w:hAnsi="source serif 4"/>
          <w:b/>
          <w:color w:val="000000"/>
          <w:sz w:val="21"/>
        </w:rPr>
        <w:t xml:space="preserve">Anonymiser autant que possible</w:t>
      </w:r>
      <w:r>
        <w:rPr>
          <w:rFonts w:eastAsia="source serif 4" w:cs="source serif 4" w:ascii="source serif 4" w:hAnsi="source serif 4"/>
          <w:color w:val="000000"/>
          <w:sz w:val="21"/>
        </w:rPr>
        <w:t xml:space="preserve"> : remplacer les noms par des initiales ou des pseudonymes, supprimer les détails permettant d’identifier une personne ou une structure.[^10]</w:t>
      </w:r>
    </w:p>
    <w:p>
      <w:pPr>
        <w:numPr>
          <w:ilvl w:val="0"/>
          <w:numId w:val="15"/>
        </w:numPr>
        <w:spacing w:line="360" w:before="105" w:after="105" w:lineRule="auto"/>
      </w:pPr>
      <w:r>
        <w:rPr>
          <w:rFonts w:eastAsia="source serif 4" w:cs="source serif 4" w:ascii="source serif 4" w:hAnsi="source serif 4"/>
          <w:b/>
          <w:color w:val="000000"/>
          <w:sz w:val="21"/>
        </w:rPr>
        <w:t xml:space="preserve">Choisir des outils encadrés par la structure</w:t>
      </w:r>
      <w:r>
        <w:rPr>
          <w:rFonts w:eastAsia="source serif 4" w:cs="source serif 4" w:ascii="source serif 4" w:hAnsi="source serif 4"/>
          <w:color w:val="000000"/>
          <w:sz w:val="21"/>
        </w:rPr>
        <w:t xml:space="preserve"> lorsque c’est possible (solutions contractuellement conformes, paramétrées pour ne pas réutiliser les données pour l’entraînement, hébergées dans l’UE).[</w:t>
      </w:r>
      <w:r>
        <w:rPr>
          <w:rFonts w:eastAsia="source serif 4" w:cs="source serif 4" w:ascii="source serif 4" w:hAnsi="source serif 4"/>
          <w:color w:val="000000"/>
          <w:sz w:val="21"/>
          <w:vertAlign w:val="superscript"/>
        </w:rPr>
        <w:t xml:space="preserve">2][</w:t>
      </w:r>
      <w:r>
        <w:rPr>
          <w:rFonts w:eastAsia="source serif 4" w:cs="source serif 4" w:ascii="source serif 4" w:hAnsi="source serif 4"/>
          <w:color w:val="000000"/>
          <w:sz w:val="21"/>
        </w:rPr>
        <w:t xml:space="preserve">4]</w:t>
      </w:r>
    </w:p>
    <w:p>
      <w:pPr>
        <w:numPr>
          <w:ilvl w:val="0"/>
          <w:numId w:val="15"/>
        </w:numPr>
        <w:spacing w:line="360" w:before="105" w:after="105" w:lineRule="auto"/>
      </w:pPr>
      <w:r>
        <w:rPr>
          <w:rFonts w:eastAsia="source serif 4" w:cs="source serif 4" w:ascii="source serif 4" w:hAnsi="source serif 4"/>
          <w:b/>
          <w:color w:val="000000"/>
          <w:sz w:val="21"/>
        </w:rPr>
        <w:t xml:space="preserve">Toujours relire et vérifier les réponses</w:t>
      </w:r>
      <w:r>
        <w:rPr>
          <w:rFonts w:eastAsia="source serif 4" w:cs="source serif 4" w:ascii="source serif 4" w:hAnsi="source serif 4"/>
          <w:color w:val="000000"/>
          <w:sz w:val="21"/>
        </w:rPr>
        <w:t xml:space="preserve"> : l’IA peut « halluciner », inventer des citations, des références juridiques ou des données factuelles.[^1]</w:t>
      </w:r>
    </w:p>
    <w:p>
      <w:pPr>
        <w:numPr>
          <w:ilvl w:val="0"/>
          <w:numId w:val="15"/>
        </w:numPr>
        <w:spacing w:line="360" w:before="105" w:after="105" w:lineRule="auto"/>
      </w:pPr>
      <w:r>
        <w:rPr>
          <w:rFonts w:eastAsia="source serif 4" w:cs="source serif 4" w:ascii="source serif 4" w:hAnsi="source serif 4"/>
          <w:b/>
          <w:color w:val="000000"/>
          <w:sz w:val="21"/>
        </w:rPr>
        <w:t xml:space="preserve">Informer les personnes concernées</w:t>
      </w:r>
      <w:r>
        <w:rPr>
          <w:rFonts w:eastAsia="source serif 4" w:cs="source serif 4" w:ascii="source serif 4" w:hAnsi="source serif 4"/>
          <w:color w:val="000000"/>
          <w:sz w:val="21"/>
        </w:rPr>
        <w:t xml:space="preserve"> lorsque leurs données sont utilisées dans un projet IA (par exemple un chatbot institutionnel) et leur permettre d’exercer leurs droits.[</w:t>
      </w:r>
      <w:r>
        <w:rPr>
          <w:rFonts w:eastAsia="source serif 4" w:cs="source serif 4" w:ascii="source serif 4" w:hAnsi="source serif 4"/>
          <w:color w:val="000000"/>
          <w:sz w:val="21"/>
          <w:vertAlign w:val="superscript"/>
        </w:rPr>
        <w:t xml:space="preserve">4][</w:t>
      </w:r>
      <w:r>
        <w:rPr>
          <w:rFonts w:eastAsia="source serif 4" w:cs="source serif 4" w:ascii="source serif 4" w:hAnsi="source serif 4"/>
          <w:color w:val="000000"/>
          <w:sz w:val="21"/>
        </w:rPr>
        <w:t xml:space="preserve">2]</w:t>
      </w:r>
    </w:p>
    <w:p>
      <w:pPr>
        <w:spacing w:line="360" w:after="210" w:lineRule="auto"/>
      </w:pPr>
      <w:r>
        <w:rPr>
          <w:rFonts w:eastAsia="source serif 4" w:cs="source serif 4" w:ascii="source serif 4" w:hAnsi="source serif 4"/>
          <w:color w:val="000000"/>
        </w:rPr>
        <w:t xml:space="preserve">Ces règles peuvent être intégrées dans une </w:t>
      </w:r>
      <w:r>
        <w:rPr>
          <w:rFonts w:eastAsia="source serif 4" w:cs="source serif 4" w:ascii="source serif 4" w:hAnsi="source serif 4"/>
          <w:b/>
          <w:color w:val="000000"/>
        </w:rPr>
        <w:t xml:space="preserve">charte interne d’usage de l’IA</w:t>
      </w:r>
      <w:r>
        <w:rPr>
          <w:rFonts w:eastAsia="source serif 4" w:cs="source serif 4" w:ascii="source serif 4" w:hAnsi="source serif 4"/>
          <w:color w:val="000000"/>
        </w:rPr>
        <w:t xml:space="preserve"> et rappelées régulièrement.</w:t>
      </w:r>
    </w:p>
    <w:p>
      <w:pPr>
        <w:spacing w:line="360" w:before="315" w:after="105" w:lineRule="auto"/>
        <w:ind w:left="-30"/>
        <w:jc w:val="left"/>
      </w:pPr>
      <w:bookmarkStart w:id="17" w:name="bm_5_3_cas_pratique_pour_la_formation"/>
      <w:r>
        <w:rPr>
          <w:rFonts w:eastAsia="source serif 4" w:cs="source serif 4" w:ascii="source serif 4" w:hAnsi="source serif 4"/>
          <w:b/>
          <w:color w:val="000000"/>
          <w:sz w:val="24"/>
        </w:rPr>
        <w:t xml:space="preserve">5.3. Cas pratique pour la formation</w:t>
      </w:r>
      <w:bookmarkEnd w:id="17"/>
    </w:p>
    <w:p>
      <w:pPr>
        <w:spacing w:line="360" w:after="210" w:lineRule="auto"/>
      </w:pPr>
      <w:r>
        <w:rPr>
          <w:rFonts w:eastAsia="source serif 4" w:cs="source serif 4" w:ascii="source serif 4" w:hAnsi="source serif 4"/>
          <w:color w:val="000000"/>
        </w:rPr>
        <w:t xml:space="preserve">Pour concrétiser ces règles, la formation peut proposer des scénarios :</w:t>
      </w:r>
    </w:p>
    <w:p>
      <w:pPr>
        <w:numPr>
          <w:ilvl w:val="0"/>
          <w:numId w:val="16"/>
        </w:numPr>
        <w:spacing w:line="360" w:before="105" w:after="105" w:lineRule="auto"/>
      </w:pPr>
      <w:r>
        <w:rPr>
          <w:rFonts w:eastAsia="source serif 4" w:cs="source serif 4" w:ascii="source serif 4" w:hAnsi="source serif 4"/>
          <w:color w:val="000000"/>
          <w:sz w:val="21"/>
        </w:rPr>
        <w:t xml:space="preserve">« Tu dois résumer un compte rendu de réunion avec des prénoms et des détails personnels : que peux‑tu envoyer ou non dans un chatbot en ligne ? »</w:t>
      </w:r>
    </w:p>
    <w:p>
      <w:pPr>
        <w:numPr>
          <w:ilvl w:val="0"/>
          <w:numId w:val="16"/>
        </w:numPr>
        <w:spacing w:line="360" w:before="105" w:after="105" w:lineRule="auto"/>
      </w:pPr>
      <w:r>
        <w:rPr>
          <w:rFonts w:eastAsia="source serif 4" w:cs="source serif 4" w:ascii="source serif 4" w:hAnsi="source serif 4"/>
          <w:color w:val="000000"/>
          <w:sz w:val="21"/>
        </w:rPr>
        <w:t xml:space="preserve">« Tu veux demander à l’IA de t’aider à répondre à un mail d’un jeune en difficulté : comment reformuler sans exposer ses données ? »</w:t>
      </w:r>
    </w:p>
    <w:p>
      <w:pPr>
        <w:spacing w:line="360" w:after="210" w:lineRule="auto"/>
      </w:pPr>
      <w:r>
        <w:rPr>
          <w:rFonts w:eastAsia="source serif 4" w:cs="source serif 4" w:ascii="source serif 4" w:hAnsi="source serif 4"/>
          <w:color w:val="000000"/>
        </w:rPr>
        <w:t xml:space="preserve">Les participants analysent ces scénarios à la lumière de la check‑list RGPD et reformulent les prompts de manière plus sûre.</w:t>
      </w:r>
    </w:p>
    <w:p>
      <w:pPr>
        <w:spacing w:line="360" w:before="315" w:after="105" w:lineRule="auto"/>
        <w:ind w:left="-30"/>
        <w:jc w:val="left"/>
      </w:pPr>
      <w:bookmarkStart w:id="18" w:name="bm_6_synthèse_pour_la_formation"/>
      <w:r>
        <w:rPr>
          <w:rFonts w:eastAsia="source serif 4" w:cs="source serif 4" w:ascii="source serif 4" w:hAnsi="source serif 4"/>
          <w:b/>
          <w:color w:val="000000"/>
          <w:sz w:val="24"/>
        </w:rPr>
        <w:t xml:space="preserve">6. Synthèse pour la formation</w:t>
      </w:r>
      <w:bookmarkEnd w:id="18"/>
    </w:p>
    <w:p>
      <w:pPr>
        <w:spacing w:line="360" w:after="210" w:lineRule="auto"/>
      </w:pPr>
      <w:r>
        <w:rPr>
          <w:rFonts w:eastAsia="source serif 4" w:cs="source serif 4" w:ascii="source serif 4" w:hAnsi="source serif 4"/>
          <w:color w:val="000000"/>
        </w:rPr>
        <w:t xml:space="preserve">Le contenu de ce rapport peut être décliné en modules pédagogiques :</w:t>
      </w:r>
    </w:p>
    <w:p>
      <w:pPr>
        <w:numPr>
          <w:ilvl w:val="0"/>
          <w:numId w:val="17"/>
        </w:numPr>
        <w:spacing w:line="360" w:before="105" w:after="105" w:lineRule="auto"/>
      </w:pPr>
      <w:r>
        <w:rPr>
          <w:rFonts w:eastAsia="source serif 4" w:cs="source serif 4" w:ascii="source serif 4" w:hAnsi="source serif 4"/>
          <w:b/>
          <w:color w:val="000000"/>
          <w:sz w:val="21"/>
        </w:rPr>
        <w:t xml:space="preserve">Module 1 – Structurer ses prompts (RCTF(E))</w:t>
      </w:r>
      <w:r>
        <w:rPr>
          <w:rFonts w:eastAsia="source serif 4" w:cs="source serif 4" w:ascii="source serif 4" w:hAnsi="source serif 4"/>
          <w:color w:val="000000"/>
          <w:sz w:val="21"/>
        </w:rPr>
        <w:t xml:space="preserve"> : théorie + ateliers d’écriture de prompts pour des besoins réels, comparaison des résultats.[</w:t>
      </w:r>
      <w:r>
        <w:rPr>
          <w:rFonts w:eastAsia="source serif 4" w:cs="source serif 4" w:ascii="source serif 4" w:hAnsi="source serif 4"/>
          <w:color w:val="000000"/>
          <w:sz w:val="21"/>
          <w:vertAlign w:val="superscript"/>
        </w:rPr>
        <w:t xml:space="preserve">6][</w:t>
      </w:r>
      <w:r>
        <w:rPr>
          <w:rFonts w:eastAsia="source serif 4" w:cs="source serif 4" w:ascii="source serif 4" w:hAnsi="source serif 4"/>
          <w:color w:val="000000"/>
          <w:sz w:val="21"/>
        </w:rPr>
        <w:t xml:space="preserve">5][^1]</w:t>
      </w:r>
    </w:p>
    <w:p>
      <w:pPr>
        <w:numPr>
          <w:ilvl w:val="0"/>
          <w:numId w:val="17"/>
        </w:numPr>
        <w:spacing w:line="360" w:before="105" w:after="105" w:lineRule="auto"/>
      </w:pPr>
      <w:r>
        <w:rPr>
          <w:rFonts w:eastAsia="source serif 4" w:cs="source serif 4" w:ascii="source serif 4" w:hAnsi="source serif 4"/>
          <w:b/>
          <w:color w:val="000000"/>
          <w:sz w:val="21"/>
        </w:rPr>
        <w:t xml:space="preserve">Module 2 – Produire une fiche d’activité ou un support de communication</w:t>
      </w:r>
      <w:r>
        <w:rPr>
          <w:rFonts w:eastAsia="source serif 4" w:cs="source serif 4" w:ascii="source serif 4" w:hAnsi="source serif 4"/>
          <w:color w:val="000000"/>
          <w:sz w:val="21"/>
        </w:rPr>
        <w:t xml:space="preserve"> : chaque participant repart avec au moins un document prêt à être testé dans sa structure.</w:t>
      </w:r>
    </w:p>
    <w:p>
      <w:pPr>
        <w:numPr>
          <w:ilvl w:val="0"/>
          <w:numId w:val="17"/>
        </w:numPr>
        <w:spacing w:line="360" w:before="105" w:after="105" w:lineRule="auto"/>
      </w:pPr>
      <w:r>
        <w:rPr>
          <w:rFonts w:eastAsia="source serif 4" w:cs="source serif 4" w:ascii="source serif 4" w:hAnsi="source serif 4"/>
          <w:b/>
          <w:color w:val="000000"/>
          <w:sz w:val="21"/>
        </w:rPr>
        <w:t xml:space="preserve">Module 3 – Images IA : qualité et droit</w:t>
      </w:r>
      <w:r>
        <w:rPr>
          <w:rFonts w:eastAsia="source serif 4" w:cs="source serif 4" w:ascii="source serif 4" w:hAnsi="source serif 4"/>
          <w:color w:val="000000"/>
          <w:sz w:val="21"/>
        </w:rPr>
        <w:t xml:space="preserve"> : génération, sélection, rappels juridiques, grille de choix.</w:t>
      </w:r>
    </w:p>
    <w:p>
      <w:pPr>
        <w:numPr>
          <w:ilvl w:val="0"/>
          <w:numId w:val="17"/>
        </w:numPr>
        <w:spacing w:line="360" w:before="105" w:after="105" w:lineRule="auto"/>
      </w:pPr>
      <w:r>
        <w:rPr>
          <w:rFonts w:eastAsia="source serif 4" w:cs="source serif 4" w:ascii="source serif 4" w:hAnsi="source serif 4"/>
          <w:b/>
          <w:color w:val="000000"/>
          <w:sz w:val="21"/>
        </w:rPr>
        <w:t xml:space="preserve">Module 4 – Données et vigilance RGPD</w:t>
      </w:r>
      <w:r>
        <w:rPr>
          <w:rFonts w:eastAsia="source serif 4" w:cs="source serif 4" w:ascii="source serif 4" w:hAnsi="source serif 4"/>
          <w:color w:val="000000"/>
          <w:sz w:val="21"/>
        </w:rPr>
        <w:t xml:space="preserve"> : check‑list, cas pratiques, intégration dans les pratiques quotidiennes.[</w:t>
      </w:r>
      <w:r>
        <w:rPr>
          <w:rFonts w:eastAsia="source serif 4" w:cs="source serif 4" w:ascii="source serif 4" w:hAnsi="source serif 4"/>
          <w:color w:val="000000"/>
          <w:sz w:val="21"/>
          <w:vertAlign w:val="superscript"/>
        </w:rPr>
        <w:t xml:space="preserve">11][</w:t>
      </w:r>
      <w:r>
        <w:rPr>
          <w:rFonts w:eastAsia="source serif 4" w:cs="source serif 4" w:ascii="source serif 4" w:hAnsi="source serif 4"/>
          <w:color w:val="000000"/>
          <w:sz w:val="21"/>
        </w:rPr>
        <w:t xml:space="preserve">2][</w:t>
      </w:r>
      <w:r>
        <w:rPr>
          <w:rFonts w:eastAsia="source serif 4" w:cs="source serif 4" w:ascii="source serif 4" w:hAnsi="source serif 4"/>
          <w:color w:val="000000"/>
          <w:sz w:val="21"/>
          <w:vertAlign w:val="superscript"/>
        </w:rPr>
        <w:t xml:space="preserve">10][</w:t>
      </w:r>
      <w:r>
        <w:rPr>
          <w:rFonts w:eastAsia="source serif 4" w:cs="source serif 4" w:ascii="source serif 4" w:hAnsi="source serif 4"/>
          <w:color w:val="000000"/>
          <w:sz w:val="21"/>
        </w:rPr>
        <w:t xml:space="preserve">4]</w:t>
      </w:r>
    </w:p>
    <w:p>
      <w:pPr>
        <w:spacing w:line="360" w:after="210" w:lineRule="auto"/>
      </w:pPr>
      <w:r>
        <w:rPr>
          <w:rFonts w:eastAsia="source serif 4" w:cs="source serif 4" w:ascii="source serif 4" w:hAnsi="source serif 4"/>
          <w:color w:val="000000"/>
        </w:rPr>
        <w:t xml:space="preserve">L’objectif global est de </w:t>
      </w:r>
      <w:r>
        <w:rPr>
          <w:rFonts w:eastAsia="source serif 4" w:cs="source serif 4" w:ascii="source serif 4" w:hAnsi="source serif 4"/>
          <w:b/>
          <w:color w:val="000000"/>
        </w:rPr>
        <w:t xml:space="preserve">professionnaliser les usages quotidiens de l’IA</w:t>
      </w:r>
      <w:r>
        <w:rPr>
          <w:rFonts w:eastAsia="source serif 4" w:cs="source serif 4" w:ascii="source serif 4" w:hAnsi="source serif 4"/>
          <w:color w:val="000000"/>
        </w:rPr>
        <w:t xml:space="preserve"> en associant efficacité (prompts structurés, production de contenus) et responsabilité (données, droit, éthique), dans une perspective d’éducation populaire et de service au public.</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9" w:name="references"/>
      <w:r>
        <w:rPr>
          <w:rFonts w:eastAsia="source serif 4" w:cs="source serif 4" w:ascii="source serif 4" w:hAnsi="source serif 4"/>
          <w:b/>
          <w:color w:val="000000"/>
          <w:sz w:val="24"/>
        </w:rPr>
        <w:t xml:space="preserve">References</w:t>
      </w:r>
      <w:bookmarkEnd w:id="19"/>
    </w:p>
    <w:p>
      <w:pPr>
        <w:numPr>
          <w:ilvl w:val="0"/>
          <w:numId w:val="18"/>
        </w:numPr>
        <w:spacing w:line="360" w:after="210" w:lineRule="auto"/>
      </w:pPr>
      <w:hyperlink r:id="rId5">
        <w:r>
          <w:rPr>
            <w:rFonts w:eastAsia="source sans 3" w:cs="source sans 3" w:ascii="source sans 3" w:hAnsi="source sans 3"/>
            <w:color w:val="#000"/>
            <w:sz w:val="21"/>
            <w:u w:val="single"/>
          </w:rPr>
          <w:t xml:space="preserve">Prompt Engineering : L'art d'obtenir des résultats pros avec l'IA</w:t>
        </w:r>
      </w:hyperlink>
      <w:r>
        <w:rPr>
          <w:rFonts w:eastAsia="source serif 4" w:cs="source serif 4" w:ascii="source serif 4" w:hAnsi="source serif 4"/>
          <w:color w:val="000000"/>
          <w:sz w:val="21"/>
        </w:rPr>
        <w:t xml:space="preserve"> - Maîtrisez le Prompt Engineering pour obtenir des résultats professionnels avec l'IA. Techniques, str...</w:t>
      </w:r>
    </w:p>
    <w:p>
      <w:pPr>
        <w:numPr>
          <w:ilvl w:val="0"/>
          <w:numId w:val="18"/>
        </w:numPr>
        <w:spacing w:line="360" w:after="210" w:lineRule="auto"/>
      </w:pPr>
      <w:hyperlink r:id="rId6">
        <w:r>
          <w:rPr>
            <w:rFonts w:eastAsia="source sans 3" w:cs="source sans 3" w:ascii="source sans 3" w:hAnsi="source sans 3"/>
            <w:color w:val="#000"/>
            <w:sz w:val="21"/>
            <w:u w:val="single"/>
          </w:rPr>
          <w:t xml:space="preserve">IA et RGPD : la Cnil soumet une nouvelle salve de recommandations</w:t>
        </w:r>
      </w:hyperlink>
      <w:r>
        <w:rPr>
          <w:rFonts w:eastAsia="source serif 4" w:cs="source serif 4" w:ascii="source serif 4" w:hAnsi="source serif 4"/>
          <w:color w:val="000000"/>
          <w:sz w:val="21"/>
        </w:rPr>
        <w:t xml:space="preserve"> - La Cnil souhaite favoriser l'émergence d'une IA respectueuse par défaut de la réglementation sur les...</w:t>
      </w:r>
    </w:p>
    <w:p>
      <w:pPr>
        <w:numPr>
          <w:ilvl w:val="0"/>
          <w:numId w:val="18"/>
        </w:numPr>
        <w:spacing w:line="360" w:after="210" w:lineRule="auto"/>
      </w:pPr>
      <w:hyperlink r:id="rId7">
        <w:r>
          <w:rPr>
            <w:rFonts w:eastAsia="source sans 3" w:cs="source sans 3" w:ascii="source sans 3" w:hAnsi="source sans 3"/>
            <w:color w:val="#000"/>
            <w:sz w:val="21"/>
            <w:u w:val="single"/>
          </w:rPr>
          <w:t xml:space="preserve">Images générées par IA et Droit d'auteur : Le guide pour un usage ...</w:t>
        </w:r>
      </w:hyperlink>
      <w:r>
        <w:rPr>
          <w:rFonts w:eastAsia="source serif 4" w:cs="source serif 4" w:ascii="source serif 4" w:hAnsi="source serif 4"/>
          <w:color w:val="000000"/>
          <w:sz w:val="21"/>
        </w:rPr>
        <w:t xml:space="preserve"> - La loi française est claire : l'intelligence artificielle n'a pas de personnalité juridique. Elle ne...</w:t>
      </w:r>
    </w:p>
    <w:p>
      <w:pPr>
        <w:numPr>
          <w:ilvl w:val="0"/>
          <w:numId w:val="18"/>
        </w:numPr>
        <w:spacing w:line="360" w:after="210" w:lineRule="auto"/>
      </w:pPr>
      <w:hyperlink r:id="rId8">
        <w:r>
          <w:rPr>
            <w:rFonts w:eastAsia="source sans 3" w:cs="source sans 3" w:ascii="source sans 3" w:hAnsi="source sans 3"/>
            <w:color w:val="#000"/>
            <w:sz w:val="21"/>
            <w:u w:val="single"/>
          </w:rPr>
          <w:t xml:space="preserve">IA et protection des données</w:t>
        </w:r>
      </w:hyperlink>
      <w:r>
        <w:rPr>
          <w:rFonts w:eastAsia="source serif 4" w:cs="source serif 4" w:ascii="source serif 4" w:hAnsi="source serif 4"/>
          <w:color w:val="000000"/>
          <w:sz w:val="21"/>
        </w:rPr>
        <w:t xml:space="preserve"> - La CNIL a publié ses premières recommandations sur l’application du RGPD dans le cadre du développem...</w:t>
      </w:r>
    </w:p>
    <w:p>
      <w:pPr>
        <w:numPr>
          <w:ilvl w:val="0"/>
          <w:numId w:val="18"/>
        </w:numPr>
        <w:spacing w:line="360" w:after="210" w:lineRule="auto"/>
      </w:pPr>
      <w:hyperlink r:id="rId9">
        <w:r>
          <w:rPr>
            <w:rFonts w:eastAsia="source sans 3" w:cs="source sans 3" w:ascii="source sans 3" w:hAnsi="source sans 3"/>
            <w:color w:val="#000"/>
            <w:sz w:val="21"/>
            <w:u w:val="single"/>
          </w:rPr>
          <w:t xml:space="preserve">Maîtriser Les Prompts Pour l'IA | PDF - Scribd</w:t>
        </w:r>
      </w:hyperlink>
      <w:r>
        <w:rPr>
          <w:rFonts w:eastAsia="source serif 4" w:cs="source serif 4" w:ascii="source serif 4" w:hAnsi="source serif 4"/>
          <w:color w:val="000000"/>
          <w:sz w:val="21"/>
        </w:rPr>
        <w:t xml:space="preserve"> - Ce guide enseigne comment maîtriser le 'Prompt Engineering' pour optimiser les réponses de l'IA en s...</w:t>
      </w:r>
    </w:p>
    <w:p>
      <w:pPr>
        <w:numPr>
          <w:ilvl w:val="0"/>
          <w:numId w:val="18"/>
        </w:numPr>
        <w:spacing w:line="360" w:after="210" w:lineRule="auto"/>
      </w:pPr>
      <w:hyperlink r:id="rId10">
        <w:r>
          <w:rPr>
            <w:rFonts w:eastAsia="source sans 3" w:cs="source sans 3" w:ascii="source sans 3" w:hAnsi="source sans 3"/>
            <w:color w:val="#000"/>
            <w:sz w:val="21"/>
            <w:u w:val="single"/>
          </w:rPr>
          <w:t xml:space="preserve">#productivité #intelligenceartificielle #promptengineering… | APTITUDES 21</w:t>
        </w:r>
      </w:hyperlink>
      <w:r>
        <w:rPr>
          <w:rFonts w:eastAsia="source serif 4" w:cs="source serif 4" w:ascii="source serif 4" w:hAnsi="source serif 4"/>
          <w:color w:val="000000"/>
          <w:sz w:val="21"/>
        </w:rPr>
        <w:t xml:space="preserve"> - On a tous déjà utilisé ChatGPT et obtenu des réponses qui n’étaient pas du tout à la hauteur de nos ...</w:t>
      </w:r>
    </w:p>
    <w:p>
      <w:pPr>
        <w:numPr>
          <w:ilvl w:val="0"/>
          <w:numId w:val="18"/>
        </w:numPr>
        <w:spacing w:line="360" w:after="210" w:lineRule="auto"/>
      </w:pPr>
      <w:hyperlink r:id="rId11">
        <w:r>
          <w:rPr>
            <w:rFonts w:eastAsia="source sans 3" w:cs="source sans 3" w:ascii="source sans 3" w:hAnsi="source sans 3"/>
            <w:color w:val="#000"/>
            <w:sz w:val="21"/>
            <w:u w:val="single"/>
          </w:rPr>
          <w:t xml:space="preserve">Droit d'auteur des images IA en France : ce que vous ...</w:t>
        </w:r>
      </w:hyperlink>
      <w:r>
        <w:rPr>
          <w:rFonts w:eastAsia="source serif 4" w:cs="source serif 4" w:ascii="source serif 4" w:hAnsi="source serif 4"/>
          <w:color w:val="000000"/>
          <w:sz w:val="21"/>
        </w:rPr>
        <w:t xml:space="preserve"> - Vous avez généré une image avec Midjourney ou DALL-E pour illustrer un article, une miniature YouTub...</w:t>
      </w:r>
    </w:p>
    <w:p>
      <w:pPr>
        <w:numPr>
          <w:ilvl w:val="0"/>
          <w:numId w:val="18"/>
        </w:numPr>
        <w:spacing w:line="360" w:after="210" w:lineRule="auto"/>
      </w:pPr>
      <w:hyperlink r:id="rId12">
        <w:r>
          <w:rPr>
            <w:rFonts w:eastAsia="source sans 3" w:cs="source sans 3" w:ascii="source sans 3" w:hAnsi="source sans 3"/>
            <w:color w:val="#000"/>
            <w:sz w:val="21"/>
            <w:u w:val="single"/>
          </w:rPr>
          <w:t xml:space="preserve">Droits d'auteur et IA : ce que les créateurs d'images doivent ...</w:t>
        </w:r>
      </w:hyperlink>
      <w:r>
        <w:rPr>
          <w:rFonts w:eastAsia="source serif 4" w:cs="source serif 4" w:ascii="source serif 4" w:hAnsi="source serif 4"/>
          <w:color w:val="000000"/>
          <w:sz w:val="21"/>
        </w:rPr>
        <w:t xml:space="preserve"> - Certifications professionnelles en marketing digital, développement web et data à Rouen, Évreux, Ver...</w:t>
      </w:r>
    </w:p>
    <w:p>
      <w:pPr>
        <w:numPr>
          <w:ilvl w:val="0"/>
          <w:numId w:val="18"/>
        </w:numPr>
        <w:spacing w:line="360" w:after="210" w:lineRule="auto"/>
      </w:pPr>
      <w:hyperlink r:id="rId13">
        <w:r>
          <w:rPr>
            <w:rFonts w:eastAsia="source sans 3" w:cs="source sans 3" w:ascii="source sans 3" w:hAnsi="source sans 3"/>
            <w:color w:val="#000"/>
            <w:sz w:val="21"/>
            <w:u w:val="single"/>
          </w:rPr>
          <w:t xml:space="preserve">Les droits de propriété intellectuelle liés aux œuvres générées par l'IA</w:t>
        </w:r>
      </w:hyperlink>
      <w:r>
        <w:rPr>
          <w:rFonts w:eastAsia="source serif 4" w:cs="source serif 4" w:ascii="source serif 4" w:hAnsi="source serif 4"/>
          <w:color w:val="000000"/>
          <w:sz w:val="21"/>
        </w:rPr>
        <w:t xml:space="preserve"> - L’IA générative (IAG) permet la production, plus ou moins autonome, de contenus tels que des textes,...</w:t>
      </w:r>
    </w:p>
    <w:p>
      <w:pPr>
        <w:numPr>
          <w:ilvl w:val="0"/>
          <w:numId w:val="18"/>
        </w:numPr>
        <w:spacing w:line="360" w:after="210" w:lineRule="auto"/>
      </w:pPr>
      <w:hyperlink r:id="rId14">
        <w:r>
          <w:rPr>
            <w:rFonts w:eastAsia="source sans 3" w:cs="source sans 3" w:ascii="source sans 3" w:hAnsi="source sans 3"/>
            <w:color w:val="#000"/>
            <w:sz w:val="21"/>
            <w:u w:val="single"/>
          </w:rPr>
          <w:t xml:space="preserve">Les fiches pratiques IA</w:t>
        </w:r>
      </w:hyperlink>
    </w:p>
    <w:p>
      <w:pPr>
        <w:numPr>
          <w:ilvl w:val="0"/>
          <w:numId w:val="18"/>
        </w:numPr>
        <w:spacing w:line="360" w:after="210" w:lineRule="auto"/>
      </w:pPr>
      <w:hyperlink r:id="rId15">
        <w:r>
          <w:rPr>
            <w:rFonts w:eastAsia="source sans 3" w:cs="source sans 3" w:ascii="source sans 3" w:hAnsi="source sans 3"/>
            <w:color w:val="#000"/>
            <w:sz w:val="21"/>
            <w:u w:val="single"/>
          </w:rPr>
          <w:t xml:space="preserve">RGPD et IA : Ce que les entreprises doivent savoir avant d' ...</w:t>
        </w:r>
      </w:hyperlink>
      <w:r>
        <w:rPr>
          <w:rFonts w:eastAsia="source serif 4" w:cs="source serif 4" w:ascii="source serif 4" w:hAnsi="source serif 4"/>
          <w:color w:val="000000"/>
          <w:sz w:val="21"/>
        </w:rPr>
        <w:t xml:space="preserve"> - IA en entreprise : maîtrisez les exigences du RGPD pour assurer conformité, sécurité juridique et re...</w:t>
      </w:r>
    </w:p>
    <w:p>
      <w:pPr>
        <w:numPr>
          <w:ilvl w:val="0"/>
          <w:numId w:val="18"/>
        </w:numPr>
        <w:spacing w:line="360" w:after="210" w:lineRule="auto"/>
      </w:pPr>
      <w:hyperlink r:id="rId16">
        <w:r>
          <w:rPr>
            <w:rFonts w:eastAsia="source sans 3" w:cs="source sans 3" w:ascii="source sans 3" w:hAnsi="source sans 3"/>
            <w:color w:val="#000"/>
            <w:sz w:val="21"/>
            <w:u w:val="single"/>
          </w:rPr>
          <w:t xml:space="preserve">I developed a framework (R.C.T.F.) to fix "Context Window Amnesia" and force specific output formats</w:t>
        </w:r>
      </w:hyperlink>
      <w:r>
        <w:rPr>
          <w:rFonts w:eastAsia="source serif 4" w:cs="source serif 4" w:ascii="source serif 4" w:hAnsi="source serif 4"/>
          <w:color w:val="000000"/>
          <w:sz w:val="21"/>
        </w:rPr>
        <w:t xml:space="preserve"> - I developed a framework (R.C.T.F.) to fix "Context Window Amnesia" and force specific output formats</w:t>
      </w:r>
    </w:p>
    <w:p>
      <w:pPr>
        <w:numPr>
          <w:ilvl w:val="0"/>
          <w:numId w:val="18"/>
        </w:numPr>
        <w:spacing w:line="360" w:after="210" w:lineRule="auto"/>
      </w:pPr>
      <w:hyperlink r:id="rId17">
        <w:r>
          <w:rPr>
            <w:rFonts w:eastAsia="source sans 3" w:cs="source sans 3" w:ascii="source sans 3" w:hAnsi="source sans 3"/>
            <w:color w:val="#000"/>
            <w:sz w:val="21"/>
            <w:u w:val="single"/>
          </w:rPr>
          <w:t xml:space="preserve">Comment écrire un prompt IA efficace ? Découvrez la méthode RCT- Outil IA pour enseignants</w:t>
        </w:r>
      </w:hyperlink>
      <w:r>
        <w:rPr>
          <w:rFonts w:eastAsia="source serif 4" w:cs="source serif 4" w:ascii="source serif 4" w:hAnsi="source serif 4"/>
          <w:color w:val="000000"/>
          <w:sz w:val="21"/>
        </w:rPr>
        <w:t xml:space="preserve"> - Vous utilisez l’IA, mais les résultats sont souvent flous ? Le problème vient souvent… du prompt. Da...</w:t>
      </w:r>
    </w:p>
    <w:p>
      <w:pPr>
        <w:numPr>
          <w:ilvl w:val="0"/>
          <w:numId w:val="18"/>
        </w:numPr>
        <w:spacing w:line="360" w:after="210" w:lineRule="auto"/>
      </w:pPr>
      <w:hyperlink r:id="rId18">
        <w:r>
          <w:rPr>
            <w:rFonts w:eastAsia="source sans 3" w:cs="source sans 3" w:ascii="source sans 3" w:hAnsi="source sans 3"/>
            <w:color w:val="#000"/>
            <w:sz w:val="21"/>
            <w:u w:val="single"/>
          </w:rPr>
          <w:t xml:space="preserve">Droit d'auteur, droit à l'image : Guide pour utiliser un contenu</w:t>
        </w:r>
      </w:hyperlink>
      <w:r>
        <w:rPr>
          <w:rFonts w:eastAsia="source serif 4" w:cs="source serif 4" w:ascii="source serif 4" w:hAnsi="source serif 4"/>
          <w:color w:val="000000"/>
          <w:sz w:val="21"/>
        </w:rPr>
        <w:t xml:space="preserve"> - Apprenez les bonnes pratiques pour utiliser un contenu existant grâce à ce guide de l'APIE.</w:t>
      </w:r>
    </w:p>
    <w:p>
      <w:pPr>
        <w:numPr>
          <w:ilvl w:val="0"/>
          <w:numId w:val="18"/>
        </w:numPr>
        <w:spacing w:line="360" w:after="210" w:lineRule="auto"/>
      </w:pPr>
      <w:hyperlink r:id="rId19">
        <w:r>
          <w:rPr>
            <w:rFonts w:eastAsia="source sans 3" w:cs="source sans 3" w:ascii="source sans 3" w:hAnsi="source sans 3"/>
            <w:color w:val="#000"/>
            <w:sz w:val="21"/>
            <w:u w:val="single"/>
          </w:rPr>
          <w:t xml:space="preserve">IA et RGPD : les recommandations de la CNIL à l'épreuve ...</w:t>
        </w:r>
      </w:hyperlink>
      <w:r>
        <w:rPr>
          <w:rFonts w:eastAsia="source serif 4" w:cs="source serif 4" w:ascii="source serif 4" w:hAnsi="source serif 4"/>
          <w:color w:val="000000"/>
          <w:sz w:val="21"/>
        </w:rPr>
        <w:t xml:space="preserve"> - Comment la CNIL encadre le développement de l’intelligence artificielle à la lumière du RGPD, à trav...</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source sans 3">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
    <w:multiLevelType w:val="hybridMultilevel"/>
    <w:lvl w:ilvl="0">
      <w:start w:val="1"/>
      <w:numFmt w:val="decimal"/>
      <w:lvlText w:val="%1."/>
      <w:lvlJc w:val="left"/>
      <w:pPr>
        <w:tabs>
          <w:tab w:val="num" w:pos="900"/>
        </w:tabs>
        <w:ind w:left="540" w:hanging="360"/>
      </w:p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7">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8">
    <w:multiLevelType w:val="hybridMultilevel"/>
    <w:lvl w:ilvl="0">
      <w:start w:val="1"/>
      <w:numFmt w:val="decimal"/>
      <w:lvlText w:val="%1."/>
      <w:lvlJc w:val="left"/>
      <w:pPr>
        <w:tabs>
          <w:tab w:val="num" w:pos="900"/>
        </w:tabs>
        <w:ind w:left="540" w:hanging="360"/>
      </w:pPr>
    </w:lvl>
  </w:abstractNum>
  <w:abstractNum w:abstractNumId="9">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0">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3">
    <w:multiLevelType w:val="hybridMultilevel"/>
    <w:lvl w:ilvl="0">
      <w:start w:val="1"/>
      <w:numFmt w:val="decimal"/>
      <w:lvlText w:val="%1."/>
      <w:lvlJc w:val="left"/>
      <w:pPr>
        <w:tabs>
          <w:tab w:val="num" w:pos="900"/>
        </w:tabs>
        <w:ind w:left="540" w:hanging="360"/>
      </w:pPr>
    </w:lvl>
  </w:abstractNum>
  <w:abstractNum w:abstractNumId="1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5">
    <w:multiLevelType w:val="hybridMultilevel"/>
    <w:lvl w:ilvl="0">
      <w:start w:val="1"/>
      <w:numFmt w:val="decimal"/>
      <w:lvlText w:val="%1."/>
      <w:lvlJc w:val="left"/>
      <w:pPr>
        <w:tabs>
          <w:tab w:val="num" w:pos="900"/>
        </w:tabs>
        <w:ind w:left="540" w:hanging="360"/>
      </w:pPr>
    </w:lvl>
  </w:abstractNum>
  <w:abstractNum w:abstractNumId="1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7">
    <w:multiLevelType w:val="hybridMultilevel"/>
    <w:lvl w:ilvl="0">
      <w:start w:val="1"/>
      <w:numFmt w:val="decimal"/>
      <w:lvlText w:val="%1."/>
      <w:lvlJc w:val="left"/>
      <w:pPr>
        <w:tabs>
          <w:tab w:val="num" w:pos="900"/>
        </w:tabs>
        <w:ind w:left="540" w:hanging="360"/>
      </w:pPr>
    </w:lvl>
  </w:abstractNum>
  <w:abstractNum w:abstractNumId="18">
    <w:multiLevelType w:val="hybridMultilevel"/>
    <w:lvl w:ilvl="0">
      <w:start w:val="1"/>
      <w:numFmt w:val="decimal"/>
      <w:lvlText w:val="%1."/>
      <w:lvlJc w:val="left"/>
      <w:pPr>
        <w:tabs>
          <w:tab w:val="num" w:pos="900"/>
        </w:tabs>
        <w:ind w:left="54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fr-FR"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fr-FR"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talgidi.fr/article-13.html" TargetMode="External"/><Relationship Id="rId6" Type="http://schemas.openxmlformats.org/officeDocument/2006/relationships/hyperlink" Target="https://www.banquedesterritoires.fr/ia-et-rgpd-la-cnil-soumet-une-nouvelle-salve-de-recommandations" TargetMode="External"/><Relationship Id="rId7" Type="http://schemas.openxmlformats.org/officeDocument/2006/relationships/hyperlink" Target="https://www.crea-image.net/images-generees-par-ia-et-droit-dauteur-le-guide-pour-un-usage-commercial/" TargetMode="External"/><Relationship Id="rId8" Type="http://schemas.openxmlformats.org/officeDocument/2006/relationships/hyperlink" Target="https://cms.law/fr/fra/news-information/ia-et-protection-des-donnees" TargetMode="External"/><Relationship Id="rId9" Type="http://schemas.openxmlformats.org/officeDocument/2006/relationships/hyperlink" Target="https://fr.scribd.com/document/1013284029/Maitriser-Les-Prompts-Pour-l-IA" TargetMode="External"/><Relationship Id="rId10" Type="http://schemas.openxmlformats.org/officeDocument/2006/relationships/hyperlink" Target="https://fr.linkedin.com/posts/aptitudes-21_productivit%C3%A9-intelligenceartificielle-activity-7290694550535208961-xQx8" TargetMode="External"/><Relationship Id="rId11" Type="http://schemas.openxmlformats.org/officeDocument/2006/relationships/hyperlink" Target="https://jurojin.net/droit-dauteur-des-images-ia-en-france-ce-que-vous-pouvez-vraiment-faire-en-2026/" TargetMode="External"/><Relationship Id="rId12" Type="http://schemas.openxmlformats.org/officeDocument/2006/relationships/hyperlink" Target="https://www.masolutionformation.com/droits-auteur-ia/" TargetMode="External"/><Relationship Id="rId13" Type="http://schemas.openxmlformats.org/officeDocument/2006/relationships/hyperlink" Target="https://alliancesolidaire.org/2025/04/09/les-droits-de-propriete-intellectuelle-lies-aux-oeuvres-generees-par-lia/" TargetMode="External"/><Relationship Id="rId14" Type="http://schemas.openxmlformats.org/officeDocument/2006/relationships/hyperlink" Target="https://www.cnil.fr/fr/les-fiches-pratiques-ia" TargetMode="External"/><Relationship Id="rId15" Type="http://schemas.openxmlformats.org/officeDocument/2006/relationships/hyperlink" Target="https://diag.bpifrance.fr/ressources/rgpd-entreprise-doivent-savoir-avant-ia" TargetMode="External"/><Relationship Id="rId16" Type="http://schemas.openxmlformats.org/officeDocument/2006/relationships/hyperlink" Target="https://www.reddit.com/r/PromptEngineering/comments/1pu3vj2/i_developed_a_framework_rctf_to_fix_context/" TargetMode="External"/><Relationship Id="rId17" Type="http://schemas.openxmlformats.org/officeDocument/2006/relationships/hyperlink" Target="https://www.youtube.com/watch?v=RGkuMyK3HAQ" TargetMode="External"/><Relationship Id="rId18" Type="http://schemas.openxmlformats.org/officeDocument/2006/relationships/hyperlink" Target="https://www.francenum.gouv.fr/guides-et-conseils/communication-et-publicite/strategie-de-communication/droit-dauteur-droit-limage" TargetMode="External"/><Relationship Id="rId19" Type="http://schemas.openxmlformats.org/officeDocument/2006/relationships/hyperlink" Target="https://www.actu-juridique.fr/informatique/ia-et-rgpd-les-recommandations-de-la-cnil-a-lepreuve-du-droit/"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2026-06-23T15:06:13.241Z</dcterms:created>
  <dcterms:modified xsi:type="dcterms:W3CDTF">2026-06-23T15:06:13.241Z</dcterms:modified>
</cp:coreProperties>
</file>